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10, 2026 (June 9, 2026)</w:t>
      </w:r>
    </w:p>
    <w:p>
      <w:pPr>
        <w:spacing w:after="0" w:line="27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CME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ectPr>
          <w:pgSz w:w="11900" w:h="16838" w:orient="portrait"/>
          <w:cols w:equalWidth="0" w:num="1">
            <w:col w:w="11200"/>
          </w:cols>
          <w:pgMar w:left="320" w:top="1042" w:right="379" w:bottom="1440" w:gutter="0" w:footer="0" w:header="0"/>
        </w:sectPr>
      </w:pPr>
    </w:p>
    <w:p>
      <w:pPr>
        <w:spacing w:after="0" w:line="4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7"/>
          <w:szCs w:val="17"/>
          <w:b w:val="1"/>
          <w:bCs w:val="1"/>
          <w:color w:val="auto"/>
        </w:rPr>
        <w:t>001-31553</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sectPr>
          <w:pgSz w:w="11900" w:h="16838" w:orient="portrait"/>
          <w:cols w:equalWidth="0" w:num="3">
            <w:col w:w="4480" w:space="720"/>
            <w:col w:w="3340" w:space="720"/>
            <w:col w:w="1940"/>
          </w:cols>
          <w:pgMar w:left="320" w:top="1042" w:right="379" w:bottom="1440" w:gutter="0" w:footer="0" w:header="0"/>
          <w:type w:val="continuous"/>
        </w:sectPr>
      </w:pP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3220" w:space="720"/>
            <w:col w:w="2060"/>
          </w:cols>
          <w:pgMar w:left="320" w:top="1042" w:right="379" w:bottom="1440" w:gutter="0" w:footer="0" w:header="0"/>
          <w:type w:val="continuous"/>
        </w:sectPr>
      </w:pPr>
    </w:p>
    <w:p>
      <w:pPr>
        <w:spacing w:after="0" w:line="200" w:lineRule="exact"/>
        <w:rPr>
          <w:sz w:val="24"/>
          <w:szCs w:val="24"/>
          <w:color w:val="auto"/>
        </w:rPr>
      </w:pPr>
    </w:p>
    <w:p>
      <w:pPr>
        <w:spacing w:after="0" w:line="220"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b w:val="1"/>
          <w:bCs w:val="1"/>
          <w:color w:val="auto"/>
        </w:rPr>
        <w:t>20 South Wacker Drive</w:t>
      </w:r>
    </w:p>
    <w:p>
      <w:pPr>
        <w:spacing w:after="0" w:line="20" w:lineRule="exact"/>
        <w:rPr>
          <w:sz w:val="24"/>
          <w:szCs w:val="24"/>
          <w:color w:val="auto"/>
        </w:rPr>
      </w:pPr>
      <w:r>
        <w:rPr>
          <w:sz w:val="24"/>
          <w:szCs w:val="24"/>
          <w:color w:val="auto"/>
        </w:rPr>
        <w:br w:type="column"/>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Chicago</w:t>
      </w:r>
    </w:p>
    <w:p>
      <w:pPr>
        <w:spacing w:after="0" w:line="20" w:lineRule="exact"/>
        <w:rPr>
          <w:sz w:val="24"/>
          <w:szCs w:val="24"/>
          <w:color w:val="auto"/>
        </w:rPr>
      </w:pPr>
      <w:r>
        <w:rPr>
          <w:sz w:val="24"/>
          <w:szCs w:val="24"/>
          <w:color w:val="auto"/>
        </w:rPr>
        <w:br w:type="column"/>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Illinois</w:t>
      </w:r>
    </w:p>
    <w:p>
      <w:pPr>
        <w:spacing w:after="0" w:line="20" w:lineRule="exact"/>
        <w:rPr>
          <w:sz w:val="24"/>
          <w:szCs w:val="24"/>
          <w:color w:val="auto"/>
        </w:rPr>
      </w:pPr>
      <w:r>
        <w:rPr>
          <w:sz w:val="24"/>
          <w:szCs w:val="24"/>
          <w:color w:val="auto"/>
        </w:rPr>
        <w:br w:type="column"/>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60606</w:t>
      </w:r>
    </w:p>
    <w:p>
      <w:pPr>
        <w:spacing w:after="0" w:line="31" w:lineRule="exact"/>
        <w:rPr>
          <w:sz w:val="24"/>
          <w:szCs w:val="24"/>
          <w:color w:val="auto"/>
        </w:rPr>
      </w:pPr>
    </w:p>
    <w:p>
      <w:pPr>
        <w:sectPr>
          <w:pgSz w:w="11900" w:h="16838" w:orient="portrait"/>
          <w:cols w:equalWidth="0" w:num="4">
            <w:col w:w="3560" w:space="720"/>
            <w:col w:w="780" w:space="720"/>
            <w:col w:w="2300" w:space="720"/>
            <w:col w:w="2400"/>
          </w:cols>
          <w:pgMar w:left="320" w:top="1042" w:right="37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980" w:space="720"/>
            <w:col w:w="2500"/>
          </w:cols>
          <w:pgMar w:left="320" w:top="1042"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930-1000</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7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w:t>
      </w:r>
    </w:p>
    <w:p>
      <w:pPr>
        <w:spacing w:after="0" w:line="62"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3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1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Pr>
          <w:p>
            <w:pPr>
              <w:spacing w:after="0"/>
              <w:rPr>
                <w:sz w:val="24"/>
                <w:szCs w:val="24"/>
                <w:color w:val="auto"/>
              </w:rPr>
            </w:pPr>
          </w:p>
        </w:tc>
        <w:tc>
          <w:tcPr>
            <w:tcW w:w="19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48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w:t>
            </w:r>
          </w:p>
        </w:tc>
        <w:tc>
          <w:tcPr>
            <w:tcW w:w="19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7"/>
              </w:rPr>
              <w:t>CME</w:t>
            </w:r>
          </w:p>
        </w:tc>
        <w:tc>
          <w:tcPr>
            <w:tcW w:w="8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94"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 w:lineRule="exact"/>
        <w:rPr>
          <w:sz w:val="24"/>
          <w:szCs w:val="24"/>
          <w:color w:val="auto"/>
        </w:rPr>
      </w:pPr>
    </w:p>
    <w:p>
      <w:pPr>
        <w:ind w:right="54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2"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6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On May 14, 2026, CME Group Inc. (the “Company”) held its 2026 Annual Meeting of Shareholders (the “Annual Meeting”). Due to lack of quorum among the Class B-1, Class B-2 and Class B-3 shareholders, the proposals presented under Items 4 through 8 were adjourned until June 9, 2026. These Items are described in further detail in the Company's definitive proxy statement on Schedule 14A filed with the SEC on March 23, 2026.</w:t>
      </w:r>
    </w:p>
    <w:p>
      <w:pPr>
        <w:spacing w:after="0" w:line="2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On June 9, 2026, the Company reconvened its Annual Meeting with regard to Items 4 through 8. At the close of business on March 16, 2026, the record date of the Annual Meeting, the Company had 362,808,081 shares of Class A and Class B common stock issued and outstanding. The following shares were present at the adjourned Annual Meeting, either in person or by proxy (total excludes broker non-votes):</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80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Class(es) of Common Stock</w:t>
            </w:r>
          </w:p>
        </w:tc>
        <w:tc>
          <w:tcPr>
            <w:tcW w:w="2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Shares Issued and</w:t>
            </w:r>
          </w:p>
        </w:tc>
        <w:tc>
          <w:tcPr>
            <w:tcW w:w="2640" w:type="dxa"/>
            <w:vAlign w:val="bottom"/>
            <w:shd w:val="clear" w:color="auto" w:fill="DBDBDB"/>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Aggregate No. of Shares Present</w:t>
            </w:r>
          </w:p>
        </w:tc>
        <w:tc>
          <w:tcPr>
            <w:tcW w:w="2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 of the Issued and Outstanding</w:t>
            </w:r>
          </w:p>
        </w:tc>
      </w:tr>
      <w:tr>
        <w:trPr>
          <w:trHeight w:val="284"/>
        </w:trPr>
        <w:tc>
          <w:tcPr>
            <w:tcW w:w="2800" w:type="dxa"/>
            <w:vAlign w:val="bottom"/>
            <w:tcBorders>
              <w:bottom w:val="single" w:sz="8" w:color="DBDBDB"/>
            </w:tcBorders>
            <w:shd w:val="clear" w:color="auto" w:fill="DBDBDB"/>
          </w:tcPr>
          <w:p>
            <w:pPr>
              <w:spacing w:after="0"/>
              <w:rPr>
                <w:sz w:val="24"/>
                <w:szCs w:val="24"/>
                <w:color w:val="auto"/>
              </w:rPr>
            </w:pPr>
          </w:p>
        </w:tc>
        <w:tc>
          <w:tcPr>
            <w:tcW w:w="2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40" w:type="dxa"/>
            <w:vAlign w:val="bottom"/>
            <w:tcBorders>
              <w:bottom w:val="single" w:sz="8" w:color="DBDBDB"/>
            </w:tcBorders>
            <w:shd w:val="clear" w:color="auto" w:fill="DBDBDB"/>
          </w:tcPr>
          <w:p>
            <w:pPr>
              <w:spacing w:after="0"/>
              <w:rPr>
                <w:sz w:val="24"/>
                <w:szCs w:val="24"/>
                <w:color w:val="auto"/>
              </w:rPr>
            </w:pPr>
          </w:p>
        </w:tc>
        <w:tc>
          <w:tcPr>
            <w:tcW w:w="2660" w:type="dxa"/>
            <w:vAlign w:val="bottom"/>
            <w:tcBorders>
              <w:bottom w:val="single" w:sz="8" w:color="DBDBDB"/>
            </w:tcBorders>
            <w:shd w:val="clear" w:color="auto" w:fill="DBDBDB"/>
          </w:tcPr>
          <w:p>
            <w:pPr>
              <w:spacing w:after="0"/>
              <w:rPr>
                <w:sz w:val="24"/>
                <w:szCs w:val="24"/>
                <w:color w:val="auto"/>
              </w:rPr>
            </w:pPr>
          </w:p>
        </w:tc>
      </w:tr>
      <w:tr>
        <w:trPr>
          <w:trHeight w:val="256"/>
        </w:trPr>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Classes A and B</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362,808,081</w:t>
            </w:r>
          </w:p>
        </w:tc>
        <w:tc>
          <w:tcPr>
            <w:tcW w:w="26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295,193,470</w:t>
            </w: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81.36 %</w:t>
            </w: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Class B-1</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6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269</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43.04 %</w:t>
            </w: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Class B-2</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26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309</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38.01 %</w:t>
            </w: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Class B-3</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w:t>
            </w:r>
          </w:p>
        </w:tc>
        <w:tc>
          <w:tcPr>
            <w:tcW w:w="26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366</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28.44 %</w:t>
            </w:r>
          </w:p>
        </w:tc>
      </w:tr>
      <w:tr>
        <w:trPr>
          <w:trHeight w:val="287"/>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Class B-4</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26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130</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-187960</wp:posOffset>
            </wp:positionV>
            <wp:extent cx="6523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6523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-548005</wp:posOffset>
            </wp:positionV>
            <wp:extent cx="6523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-728345</wp:posOffset>
            </wp:positionV>
            <wp:extent cx="6523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281"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9"/>
          <w:szCs w:val="19"/>
          <w:color w:val="auto"/>
        </w:rPr>
        <w:t>For each class of common stock voting separately on a proposal being presented at the Annual Meeting at least 33.3% of the class of common stock issued and outstanding must be present at the Annual Meeting to obtain quorum. Accordingly, the shares of Class B-3 common stock did not reach quorum and, therefore, Items 6 and 8c were not presented for approval to the Class B-3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results of the proposals that were voted on at the adjourned Annual Meeting are as follows:</w:t>
      </w:r>
    </w:p>
    <w:p>
      <w:pPr>
        <w:spacing w:after="0" w:line="243" w:lineRule="exact"/>
        <w:rPr>
          <w:sz w:val="20"/>
          <w:szCs w:val="20"/>
          <w:color w:val="auto"/>
        </w:rPr>
      </w:pPr>
    </w:p>
    <w:p>
      <w:pPr>
        <w:ind w:left="660" w:right="160" w:hanging="328"/>
        <w:spacing w:after="0" w:line="258"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 4 - The proposal to eliminate the right of the Class B-1 shareholders to elect three directors did not pass. In order to pass, this Item required an affirmative vote from the holders of a majority of the outstanding shares of Class B-1 common stock voting as a single class and an affirmative vote from the holders of a majority of the outstanding shares of Class A and all Class B shareholders voting together as a single class.</w:t>
      </w:r>
    </w:p>
    <w:p>
      <w:pPr>
        <w:spacing w:after="0" w:line="357"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2840" w:type="dxa"/>
            <w:vAlign w:val="bottom"/>
            <w:tcBorders>
              <w:bottom w:val="single" w:sz="8" w:color="auto"/>
            </w:tcBorders>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Class(es) of Common Stock</w:t>
            </w:r>
          </w:p>
        </w:tc>
        <w:tc>
          <w:tcPr>
            <w:tcW w:w="2220" w:type="dxa"/>
            <w:vAlign w:val="bottom"/>
            <w:tcBorders>
              <w:bottom w:val="single" w:sz="8" w:color="auto"/>
            </w:tcBorders>
            <w:shd w:val="clear" w:color="auto" w:fill="DBDBDB"/>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FOR</w:t>
            </w:r>
          </w:p>
        </w:tc>
        <w:tc>
          <w:tcPr>
            <w:tcW w:w="1700" w:type="dxa"/>
            <w:vAlign w:val="bottom"/>
            <w:tcBorders>
              <w:bottom w:val="single" w:sz="8" w:color="auto"/>
            </w:tcBorders>
            <w:shd w:val="clear" w:color="auto" w:fill="DBDBDB"/>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FOR (%)</w:t>
            </w:r>
          </w:p>
        </w:tc>
        <w:tc>
          <w:tcPr>
            <w:tcW w:w="1700" w:type="dxa"/>
            <w:vAlign w:val="bottom"/>
            <w:tcBorders>
              <w:bottom w:val="single" w:sz="8" w:color="auto"/>
            </w:tcBorders>
            <w:shd w:val="clear" w:color="auto" w:fill="DBDBDB"/>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b w:val="1"/>
                <w:bCs w:val="1"/>
                <w:color w:val="auto"/>
              </w:rPr>
              <w:t>ABSTAIN</w:t>
            </w:r>
          </w:p>
        </w:tc>
      </w:tr>
      <w:tr>
        <w:trPr>
          <w:trHeight w:val="256"/>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Class B-1</w:t>
            </w:r>
          </w:p>
        </w:tc>
        <w:tc>
          <w:tcPr>
            <w:tcW w:w="22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174</w:t>
            </w:r>
          </w:p>
        </w:tc>
        <w:tc>
          <w:tcPr>
            <w:tcW w:w="17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27.84 %</w:t>
            </w:r>
          </w:p>
        </w:tc>
        <w:tc>
          <w:tcPr>
            <w:tcW w:w="1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92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Classes A and B</w:t>
            </w:r>
          </w:p>
        </w:tc>
        <w:tc>
          <w:tcPr>
            <w:tcW w:w="22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291,250,517</w:t>
            </w:r>
          </w:p>
        </w:tc>
        <w:tc>
          <w:tcPr>
            <w:tcW w:w="17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80.27 %</w:t>
            </w:r>
          </w:p>
        </w:tc>
        <w:tc>
          <w:tcPr>
            <w:tcW w:w="1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2,439,875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5080</wp:posOffset>
            </wp:positionV>
            <wp:extent cx="6197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-174625</wp:posOffset>
            </wp:positionV>
            <wp:extent cx="6197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316" w:lineRule="exact"/>
        <w:rPr>
          <w:sz w:val="20"/>
          <w:szCs w:val="20"/>
          <w:color w:val="auto"/>
        </w:rPr>
      </w:pPr>
    </w:p>
    <w:p>
      <w:pPr>
        <w:ind w:left="660" w:right="160" w:hanging="328"/>
        <w:spacing w:after="0" w:line="24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 5 - The proposal to eliminate the right of the Class B-2 shareholders to elect two directors did not pass. In order to pass, this Item required an affirmative vote from the holders of a majority of the outstanding shares of Class B-2 common stock voting as a single class and an affirmative vote from the holders of a majority of the outstanding shares of Class A and all Class B shareholders voting together as a single class.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0" w:type="dxa"/>
            <w:vAlign w:val="bottom"/>
          </w:tcPr>
          <w:p>
            <w:pPr>
              <w:spacing w:after="0"/>
              <w:rPr>
                <w:sz w:val="23"/>
                <w:szCs w:val="23"/>
                <w:color w:val="auto"/>
              </w:rPr>
            </w:pPr>
          </w:p>
        </w:tc>
        <w:tc>
          <w:tcPr>
            <w:tcW w:w="2840" w:type="dxa"/>
            <w:vAlign w:val="bottom"/>
            <w:tcBorders>
              <w:bottom w:val="single" w:sz="8" w:color="auto"/>
            </w:tcBorders>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Class(es) of Common Stock</w:t>
            </w:r>
          </w:p>
        </w:tc>
        <w:tc>
          <w:tcPr>
            <w:tcW w:w="2220" w:type="dxa"/>
            <w:vAlign w:val="bottom"/>
            <w:tcBorders>
              <w:bottom w:val="single" w:sz="8" w:color="auto"/>
            </w:tcBorders>
            <w:shd w:val="clear" w:color="auto" w:fill="DBDBDB"/>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FOR</w:t>
            </w:r>
          </w:p>
        </w:tc>
        <w:tc>
          <w:tcPr>
            <w:tcW w:w="1700" w:type="dxa"/>
            <w:vAlign w:val="bottom"/>
            <w:tcBorders>
              <w:bottom w:val="single" w:sz="8" w:color="auto"/>
            </w:tcBorders>
            <w:shd w:val="clear" w:color="auto" w:fill="DBDBDB"/>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FOR (%)</w:t>
            </w:r>
          </w:p>
        </w:tc>
        <w:tc>
          <w:tcPr>
            <w:tcW w:w="1700" w:type="dxa"/>
            <w:vAlign w:val="bottom"/>
            <w:tcBorders>
              <w:bottom w:val="single" w:sz="8" w:color="auto"/>
            </w:tcBorders>
            <w:shd w:val="clear" w:color="auto" w:fill="DBDBDB"/>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720" w:type="dxa"/>
            <w:vAlign w:val="bottom"/>
          </w:tcPr>
          <w:p>
            <w:pPr>
              <w:spacing w:after="0"/>
              <w:rPr>
                <w:sz w:val="23"/>
                <w:szCs w:val="23"/>
                <w:color w:val="auto"/>
              </w:rPr>
            </w:pPr>
          </w:p>
        </w:tc>
      </w:tr>
      <w:tr>
        <w:trPr>
          <w:trHeight w:val="256"/>
        </w:trPr>
        <w:tc>
          <w:tcPr>
            <w:tcW w:w="760" w:type="dxa"/>
            <w:vAlign w:val="bottom"/>
          </w:tcPr>
          <w:p>
            <w:pPr>
              <w:spacing w:after="0"/>
              <w:rPr>
                <w:sz w:val="22"/>
                <w:szCs w:val="2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Class B-2</w:t>
            </w:r>
          </w:p>
        </w:tc>
        <w:tc>
          <w:tcPr>
            <w:tcW w:w="22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190</w:t>
            </w:r>
          </w:p>
        </w:tc>
        <w:tc>
          <w:tcPr>
            <w:tcW w:w="17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23.37 %</w:t>
            </w:r>
          </w:p>
        </w:tc>
        <w:tc>
          <w:tcPr>
            <w:tcW w:w="1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115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720" w:type="dxa"/>
            <w:vAlign w:val="bottom"/>
          </w:tcPr>
          <w:p>
            <w:pPr>
              <w:spacing w:after="0"/>
              <w:rPr>
                <w:sz w:val="22"/>
                <w:szCs w:val="22"/>
                <w:color w:val="auto"/>
              </w:rPr>
            </w:pPr>
          </w:p>
        </w:tc>
      </w:tr>
      <w:tr>
        <w:trPr>
          <w:trHeight w:val="284"/>
        </w:trPr>
        <w:tc>
          <w:tcPr>
            <w:tcW w:w="76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Classes A and B</w:t>
            </w:r>
          </w:p>
        </w:tc>
        <w:tc>
          <w:tcPr>
            <w:tcW w:w="22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291,226,600</w:t>
            </w:r>
          </w:p>
        </w:tc>
        <w:tc>
          <w:tcPr>
            <w:tcW w:w="17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80.27 %</w:t>
            </w:r>
          </w:p>
        </w:tc>
        <w:tc>
          <w:tcPr>
            <w:tcW w:w="1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2,461,395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1,505,475</w:t>
            </w:r>
          </w:p>
        </w:tc>
        <w:tc>
          <w:tcPr>
            <w:tcW w:w="720" w:type="dxa"/>
            <w:vAlign w:val="bottom"/>
          </w:tcPr>
          <w:p>
            <w:pPr>
              <w:spacing w:after="0"/>
              <w:rPr>
                <w:sz w:val="24"/>
                <w:szCs w:val="24"/>
                <w:color w:val="auto"/>
              </w:rPr>
            </w:pPr>
          </w:p>
        </w:tc>
      </w:tr>
      <w:tr>
        <w:trPr>
          <w:trHeight w:val="1972"/>
        </w:trPr>
        <w:tc>
          <w:tcPr>
            <w:tcW w:w="7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-1259205</wp:posOffset>
            </wp:positionV>
            <wp:extent cx="6197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-1439545</wp:posOffset>
            </wp:positionV>
            <wp:extent cx="6197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 w:name="page3"/>
    <w:bookmarkEnd w:id="2"/>
    <w:p>
      <w:pPr>
        <w:spacing w:after="0" w:line="176"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 6 - The proposal to eliminate the right of the Class B-3 shareholders to elect one director did not achieve quorum.</w:t>
      </w:r>
    </w:p>
    <w:p>
      <w:pPr>
        <w:spacing w:after="0" w:line="200" w:lineRule="exact"/>
        <w:rPr>
          <w:rFonts w:ascii="Times New Roman" w:cs="Times New Roman" w:eastAsia="Times New Roman" w:hAnsi="Times New Roman"/>
          <w:sz w:val="20"/>
          <w:szCs w:val="20"/>
          <w:color w:val="auto"/>
        </w:rPr>
      </w:pPr>
    </w:p>
    <w:p>
      <w:pPr>
        <w:spacing w:after="0" w:line="285" w:lineRule="exact"/>
        <w:rPr>
          <w:rFonts w:ascii="Times New Roman" w:cs="Times New Roman" w:eastAsia="Times New Roman" w:hAnsi="Times New Roman"/>
          <w:sz w:val="20"/>
          <w:szCs w:val="20"/>
          <w:color w:val="auto"/>
        </w:rPr>
      </w:pPr>
    </w:p>
    <w:p>
      <w:pPr>
        <w:ind w:left="328" w:hanging="328"/>
        <w:spacing w:after="0" w:line="274" w:lineRule="auto"/>
        <w:tabs>
          <w:tab w:leader="none" w:pos="32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Item 7 - The proposal relating to an amendment to our certificate of incorporation passed; however, the amendment will not be filed, since its approval was contingent upon the approval of Items 4, 5 and 6. In order to pass, this Item required affirmative approval from the holders of a majority of the outstanding shares of Class A and Class B shareholders voting together as a single class.</w:t>
      </w:r>
    </w:p>
    <w:p>
      <w:pPr>
        <w:spacing w:after="0" w:line="220" w:lineRule="exact"/>
        <w:rPr>
          <w:sz w:val="20"/>
          <w:szCs w:val="20"/>
          <w:color w:val="auto"/>
        </w:rPr>
      </w:pPr>
    </w:p>
    <w:tbl>
      <w:tblPr>
        <w:tblLayout w:type="fixed"/>
        <w:tblInd w:w="428" w:type="dxa"/>
        <w:tblCellMar>
          <w:top w:w="0" w:type="dxa"/>
          <w:left w:w="0" w:type="dxa"/>
          <w:bottom w:w="0" w:type="dxa"/>
          <w:right w:w="0" w:type="dxa"/>
        </w:tblCellMar>
      </w:tblPr>
      <w:tr>
        <w:trPr>
          <w:trHeight w:val="270"/>
        </w:trPr>
        <w:tc>
          <w:tcPr>
            <w:tcW w:w="284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Class(es) of Common Stock</w:t>
            </w:r>
          </w:p>
        </w:tc>
        <w:tc>
          <w:tcPr>
            <w:tcW w:w="2220" w:type="dxa"/>
            <w:vAlign w:val="bottom"/>
            <w:shd w:val="clear" w:color="auto" w:fill="DBDBDB"/>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FOR</w:t>
            </w:r>
          </w:p>
        </w:tc>
        <w:tc>
          <w:tcPr>
            <w:tcW w:w="1700" w:type="dxa"/>
            <w:vAlign w:val="bottom"/>
            <w:shd w:val="clear" w:color="auto" w:fill="DBDBDB"/>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FOR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c>
          <w:tcPr>
            <w:tcW w:w="1700" w:type="dxa"/>
            <w:vAlign w:val="bottom"/>
            <w:shd w:val="clear" w:color="auto" w:fill="DBDBDB"/>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20"/>
                <w:szCs w:val="20"/>
                <w:b w:val="1"/>
                <w:bCs w:val="1"/>
                <w:color w:val="auto"/>
              </w:rPr>
              <w:t>ABSTAIN</w:t>
            </w:r>
          </w:p>
        </w:tc>
      </w:tr>
      <w:tr>
        <w:trPr>
          <w:trHeight w:val="276"/>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Classes A and B</w:t>
            </w:r>
          </w:p>
        </w:tc>
        <w:tc>
          <w:tcPr>
            <w:tcW w:w="22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291,324,525</w:t>
            </w:r>
          </w:p>
        </w:tc>
        <w:tc>
          <w:tcPr>
            <w:tcW w:w="17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80.29 %</w:t>
            </w:r>
          </w:p>
        </w:tc>
        <w:tc>
          <w:tcPr>
            <w:tcW w:w="1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2,267,873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5080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-174625</wp:posOffset>
            </wp:positionV>
            <wp:extent cx="6197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28" w:hanging="328"/>
        <w:spacing w:after="0"/>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 8 - Election of the Class B Directors:</w:t>
      </w:r>
    </w:p>
    <w:p>
      <w:pPr>
        <w:spacing w:after="0" w:line="242" w:lineRule="exact"/>
        <w:rPr>
          <w:rFonts w:ascii="Times New Roman" w:cs="Times New Roman" w:eastAsia="Times New Roman" w:hAnsi="Times New Roman"/>
          <w:sz w:val="20"/>
          <w:szCs w:val="20"/>
          <w:color w:val="auto"/>
        </w:rPr>
      </w:pPr>
    </w:p>
    <w:p>
      <w:pPr>
        <w:ind w:left="968" w:right="260" w:hanging="324"/>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Each of the Class B-1 directors have been re-elected to serve until the 2027 annual meeting of shareholders. For this Item, only Class B-1 shareholders vote.</w:t>
      </w:r>
    </w:p>
    <w:p>
      <w:pPr>
        <w:spacing w:after="0" w:line="236" w:lineRule="exact"/>
        <w:rPr>
          <w:sz w:val="20"/>
          <w:szCs w:val="20"/>
          <w:color w:val="auto"/>
        </w:rPr>
      </w:pPr>
    </w:p>
    <w:tbl>
      <w:tblPr>
        <w:tblLayout w:type="fixed"/>
        <w:tblInd w:w="1528" w:type="dxa"/>
        <w:tblCellMar>
          <w:top w:w="0" w:type="dxa"/>
          <w:left w:w="0" w:type="dxa"/>
          <w:bottom w:w="0" w:type="dxa"/>
          <w:right w:w="0" w:type="dxa"/>
        </w:tblCellMar>
      </w:tblPr>
      <w:tr>
        <w:trPr>
          <w:trHeight w:val="270"/>
        </w:trPr>
        <w:tc>
          <w:tcPr>
            <w:tcW w:w="30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20"/>
                <w:szCs w:val="20"/>
                <w:b w:val="1"/>
                <w:bCs w:val="1"/>
                <w:color w:val="auto"/>
              </w:rPr>
              <w:t>Class B-1 Directors</w:t>
            </w:r>
          </w:p>
        </w:tc>
        <w:tc>
          <w:tcPr>
            <w:tcW w:w="1600" w:type="dxa"/>
            <w:vAlign w:val="bottom"/>
            <w:tcBorders>
              <w:bottom w:val="single" w:sz="8" w:color="auto"/>
            </w:tcBorders>
            <w:shd w:val="clear" w:color="auto" w:fill="DBDBDB"/>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FOR</w:t>
            </w:r>
          </w:p>
        </w:tc>
        <w:tc>
          <w:tcPr>
            <w:tcW w:w="1660" w:type="dxa"/>
            <w:vAlign w:val="bottom"/>
            <w:tcBorders>
              <w:bottom w:val="single" w:sz="8" w:color="auto"/>
            </w:tcBorders>
            <w:shd w:val="clear" w:color="auto" w:fill="DBDBDB"/>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b w:val="1"/>
                <w:bCs w:val="1"/>
                <w:color w:val="auto"/>
              </w:rPr>
              <w:t>ABSTAIN</w:t>
            </w:r>
          </w:p>
        </w:tc>
      </w:tr>
      <w:tr>
        <w:trPr>
          <w:trHeight w:val="256"/>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William H. Hobert (WH)</w:t>
            </w:r>
          </w:p>
        </w:tc>
        <w:tc>
          <w:tcPr>
            <w:tcW w:w="16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212</w:t>
            </w:r>
          </w:p>
        </w:tc>
        <w:tc>
          <w:tcPr>
            <w:tcW w:w="16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14</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83"/>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Patrick J. Mulchrone (PJM)</w:t>
            </w:r>
          </w:p>
        </w:tc>
        <w:tc>
          <w:tcPr>
            <w:tcW w:w="16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220</w:t>
            </w:r>
          </w:p>
        </w:tc>
        <w:tc>
          <w:tcPr>
            <w:tcW w:w="16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7</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70"/>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Robert J. Tierney Jr. (RJT)</w:t>
            </w:r>
          </w:p>
        </w:tc>
        <w:tc>
          <w:tcPr>
            <w:tcW w:w="16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219</w:t>
            </w:r>
          </w:p>
        </w:tc>
        <w:tc>
          <w:tcPr>
            <w:tcW w:w="16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8</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5080</wp:posOffset>
            </wp:positionV>
            <wp:extent cx="47834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-166370</wp:posOffset>
            </wp:positionV>
            <wp:extent cx="47834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-346075</wp:posOffset>
            </wp:positionV>
            <wp:extent cx="4783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968" w:right="160" w:hanging="320"/>
        <w:spacing w:after="0" w:line="269" w:lineRule="auto"/>
        <w:tabs>
          <w:tab w:leader="none" w:pos="9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B-2 director has been re-elected to serve until the 2027 annual meeting of shareholders. For this Item, only Class B-2 shareholders vote.</w:t>
      </w:r>
    </w:p>
    <w:p>
      <w:pPr>
        <w:spacing w:after="0" w:line="236" w:lineRule="exact"/>
        <w:rPr>
          <w:sz w:val="20"/>
          <w:szCs w:val="20"/>
          <w:color w:val="auto"/>
        </w:rPr>
      </w:pPr>
    </w:p>
    <w:tbl>
      <w:tblPr>
        <w:tblLayout w:type="fixed"/>
        <w:tblInd w:w="1528" w:type="dxa"/>
        <w:tblCellMar>
          <w:top w:w="0" w:type="dxa"/>
          <w:left w:w="0" w:type="dxa"/>
          <w:bottom w:w="0" w:type="dxa"/>
          <w:right w:w="0" w:type="dxa"/>
        </w:tblCellMar>
      </w:tblPr>
      <w:tr>
        <w:trPr>
          <w:trHeight w:val="270"/>
        </w:trPr>
        <w:tc>
          <w:tcPr>
            <w:tcW w:w="29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20"/>
                <w:szCs w:val="20"/>
                <w:b w:val="1"/>
                <w:bCs w:val="1"/>
                <w:color w:val="auto"/>
              </w:rPr>
              <w:t>Class B-2 Director</w:t>
            </w:r>
          </w:p>
        </w:tc>
        <w:tc>
          <w:tcPr>
            <w:tcW w:w="1640" w:type="dxa"/>
            <w:vAlign w:val="bottom"/>
            <w:tcBorders>
              <w:bottom w:val="single" w:sz="8" w:color="auto"/>
            </w:tcBorders>
            <w:shd w:val="clear" w:color="auto" w:fill="DBDBDB"/>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FOR</w:t>
            </w:r>
          </w:p>
        </w:tc>
        <w:tc>
          <w:tcPr>
            <w:tcW w:w="1660" w:type="dxa"/>
            <w:vAlign w:val="bottom"/>
            <w:tcBorders>
              <w:bottom w:val="single" w:sz="8" w:color="auto"/>
            </w:tcBorders>
            <w:shd w:val="clear" w:color="auto" w:fill="DBDBDB"/>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20"/>
                <w:szCs w:val="20"/>
                <w:b w:val="1"/>
                <w:bCs w:val="1"/>
                <w:color w:val="auto"/>
              </w:rPr>
              <w:t>ABSTAIN</w:t>
            </w:r>
          </w:p>
        </w:tc>
      </w:tr>
      <w:tr>
        <w:trPr>
          <w:trHeight w:val="256"/>
        </w:trPr>
        <w:tc>
          <w:tcPr>
            <w:tcW w:w="2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Patrick W. Maloney (PAT)</w:t>
            </w:r>
          </w:p>
        </w:tc>
        <w:tc>
          <w:tcPr>
            <w:tcW w:w="16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238</w:t>
            </w:r>
          </w:p>
        </w:tc>
        <w:tc>
          <w:tcPr>
            <w:tcW w:w="16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14</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5080</wp:posOffset>
            </wp:positionV>
            <wp:extent cx="4783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968" w:right="200" w:hanging="320"/>
        <w:spacing w:after="0" w:line="247" w:lineRule="auto"/>
        <w:tabs>
          <w:tab w:leader="none" w:pos="95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election of one Class B-3 Director, no quorum was achieved. Therefore, Elizabeth A. Cook is a “holdover” under Delaware law and the Company’s bylaws. She will continue to serve until her successor is duly elected at the 2027 Annual Meeting or her earlier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690880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3" w:name="page4"/>
    <w:bookmarkEnd w:id="3"/>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9" w:lineRule="exact"/>
        <w:rPr>
          <w:sz w:val="20"/>
          <w:szCs w:val="20"/>
          <w:color w:val="auto"/>
        </w:rPr>
      </w:pPr>
    </w:p>
    <w:p>
      <w:pPr>
        <w:ind w:right="120" w:firstLine="445"/>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CME Group Inc.</w:t>
      </w:r>
    </w:p>
    <w:p>
      <w:pPr>
        <w:spacing w:after="0" w:line="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Registrant</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June 10, 2026</w:t>
            </w:r>
          </w:p>
        </w:tc>
        <w:tc>
          <w:tcPr>
            <w:tcW w:w="22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By:</w:t>
            </w:r>
          </w:p>
        </w:tc>
        <w:tc>
          <w:tcPr>
            <w:tcW w:w="576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22"/>
                <w:szCs w:val="22"/>
                <w:color w:val="auto"/>
                <w:w w:val="97"/>
              </w:rPr>
              <w:t>/s/ Jonathan Marcus</w:t>
            </w:r>
          </w:p>
        </w:tc>
      </w:tr>
      <w:tr>
        <w:trPr>
          <w:trHeight w:val="198"/>
        </w:trPr>
        <w:tc>
          <w:tcPr>
            <w:tcW w:w="3160" w:type="dxa"/>
            <w:vAlign w:val="bottom"/>
          </w:tcPr>
          <w:p>
            <w:pPr>
              <w:spacing w:after="0"/>
              <w:rPr>
                <w:sz w:val="17"/>
                <w:szCs w:val="17"/>
                <w:color w:val="auto"/>
              </w:rPr>
            </w:pPr>
          </w:p>
        </w:tc>
        <w:tc>
          <w:tcPr>
            <w:tcW w:w="2280" w:type="dxa"/>
            <w:vAlign w:val="bottom"/>
          </w:tcPr>
          <w:p>
            <w:pPr>
              <w:ind w:left="1440"/>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760" w:type="dxa"/>
            <w:vAlign w:val="bottom"/>
          </w:tcPr>
          <w:p>
            <w:pPr>
              <w:jc w:val="center"/>
              <w:ind w:left="472"/>
              <w:spacing w:after="0" w:line="198" w:lineRule="exact"/>
              <w:rPr>
                <w:sz w:val="20"/>
                <w:szCs w:val="20"/>
                <w:color w:val="auto"/>
              </w:rPr>
            </w:pPr>
            <w:r>
              <w:rPr>
                <w:rFonts w:ascii="Times New Roman" w:cs="Times New Roman" w:eastAsia="Times New Roman" w:hAnsi="Times New Roman"/>
                <w:sz w:val="22"/>
                <w:szCs w:val="22"/>
                <w:b w:val="1"/>
                <w:bCs w:val="1"/>
                <w:color w:val="auto"/>
                <w:w w:val="97"/>
              </w:rPr>
              <w:t>Jonathan Marcus</w:t>
            </w:r>
          </w:p>
        </w:tc>
      </w:tr>
      <w:tr>
        <w:trPr>
          <w:trHeight w:val="216"/>
        </w:trPr>
        <w:tc>
          <w:tcPr>
            <w:tcW w:w="3160" w:type="dxa"/>
            <w:vAlign w:val="bottom"/>
          </w:tcPr>
          <w:p>
            <w:pPr>
              <w:spacing w:after="0"/>
              <w:rPr>
                <w:sz w:val="18"/>
                <w:szCs w:val="18"/>
                <w:color w:val="auto"/>
              </w:rPr>
            </w:pPr>
          </w:p>
        </w:tc>
        <w:tc>
          <w:tcPr>
            <w:tcW w:w="2280" w:type="dxa"/>
            <w:vAlign w:val="bottom"/>
          </w:tcPr>
          <w:p>
            <w:pPr>
              <w:ind w:left="1440"/>
              <w:spacing w:after="0" w:line="216" w:lineRule="exact"/>
              <w:rPr>
                <w:sz w:val="20"/>
                <w:szCs w:val="20"/>
                <w:color w:val="auto"/>
              </w:rPr>
            </w:pPr>
            <w:r>
              <w:rPr>
                <w:rFonts w:ascii="Times New Roman" w:cs="Times New Roman" w:eastAsia="Times New Roman" w:hAnsi="Times New Roman"/>
                <w:sz w:val="22"/>
                <w:szCs w:val="22"/>
                <w:color w:val="auto"/>
              </w:rPr>
              <w:t>Title:</w:t>
            </w:r>
          </w:p>
        </w:tc>
        <w:tc>
          <w:tcPr>
            <w:tcW w:w="5760" w:type="dxa"/>
            <w:vAlign w:val="bottom"/>
          </w:tcPr>
          <w:p>
            <w:pPr>
              <w:jc w:val="center"/>
              <w:ind w:left="472"/>
              <w:spacing w:after="0" w:line="216" w:lineRule="exact"/>
              <w:rPr>
                <w:sz w:val="20"/>
                <w:szCs w:val="20"/>
                <w:color w:val="auto"/>
              </w:rPr>
            </w:pPr>
            <w:r>
              <w:rPr>
                <w:rFonts w:ascii="Times New Roman" w:cs="Times New Roman" w:eastAsia="Times New Roman" w:hAnsi="Times New Roman"/>
                <w:sz w:val="22"/>
                <w:szCs w:val="22"/>
                <w:b w:val="1"/>
                <w:bCs w:val="1"/>
                <w:color w:val="auto"/>
                <w:w w:val="97"/>
              </w:rPr>
              <w:t>Senior Managing Director and</w:t>
            </w:r>
          </w:p>
        </w:tc>
      </w:tr>
      <w:tr>
        <w:trPr>
          <w:trHeight w:val="286"/>
        </w:trPr>
        <w:tc>
          <w:tcPr>
            <w:tcW w:w="3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60" w:type="dxa"/>
            <w:vAlign w:val="bottom"/>
          </w:tcPr>
          <w:p>
            <w:pPr>
              <w:jc w:val="center"/>
              <w:ind w:left="472"/>
              <w:spacing w:after="0"/>
              <w:rPr>
                <w:sz w:val="20"/>
                <w:szCs w:val="20"/>
                <w:color w:val="auto"/>
              </w:rPr>
            </w:pPr>
            <w:r>
              <w:rPr>
                <w:rFonts w:ascii="Times New Roman" w:cs="Times New Roman" w:eastAsia="Times New Roman" w:hAnsi="Times New Roman"/>
                <w:sz w:val="22"/>
                <w:szCs w:val="22"/>
                <w:b w:val="1"/>
                <w:bCs w:val="1"/>
                <w:color w:val="auto"/>
                <w:w w:val="98"/>
              </w:rPr>
              <w:t>General Counsel</w:t>
            </w: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5"/>
    </w:lvl>
    <w:lvl w:ilvl="1">
      <w:lvlJc w:val="left"/>
      <w:lvlText w:val="%2"/>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2026-06-10T16:10:12Z</dcterms:created>
  <dcterms:modified xsi:type="dcterms:W3CDTF">2026-06-10T16:10:12Z</dcterms:modified>
</cp:coreProperties>
</file>