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660" w:hanging="443"/>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OR -</w:t>
      </w:r>
    </w:p>
    <w:p>
      <w:pPr>
        <w:spacing w:after="0" w:line="153" w:lineRule="exact"/>
        <w:rPr>
          <w:sz w:val="24"/>
          <w:szCs w:val="24"/>
          <w:color w:val="auto"/>
        </w:rPr>
      </w:pPr>
    </w:p>
    <w:p>
      <w:pPr>
        <w:ind w:left="660" w:hanging="443"/>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9" w:lineRule="exact"/>
        <w:rPr>
          <w:sz w:val="24"/>
          <w:szCs w:val="24"/>
          <w:color w:val="auto"/>
        </w:rPr>
      </w:pPr>
    </w:p>
    <w:tbl>
      <w:tblPr>
        <w:tblLayout w:type="fixed"/>
        <w:tblInd w:w="1180" w:type="dxa"/>
        <w:tblCellMar>
          <w:top w:w="0" w:type="dxa"/>
          <w:left w:w="0" w:type="dxa"/>
          <w:bottom w:w="0" w:type="dxa"/>
          <w:right w:w="0" w:type="dxa"/>
        </w:tblCellMar>
      </w:tblPr>
      <w:tr>
        <w:trPr>
          <w:trHeight w:val="207"/>
        </w:trPr>
        <w:tc>
          <w:tcPr>
            <w:tcW w:w="2220" w:type="dxa"/>
            <w:vAlign w:val="bottom"/>
          </w:tcPr>
          <w:p>
            <w:pPr>
              <w:spacing w:after="0"/>
              <w:rPr>
                <w:sz w:val="17"/>
                <w:szCs w:val="17"/>
                <w:color w:val="auto"/>
              </w:rPr>
            </w:pPr>
          </w:p>
        </w:tc>
        <w:tc>
          <w:tcPr>
            <w:tcW w:w="3140" w:type="dxa"/>
            <w:vAlign w:val="bottom"/>
            <w:gridSpan w:val="2"/>
          </w:tcPr>
          <w:p>
            <w:pPr>
              <w:ind w:left="360"/>
              <w:spacing w:after="0"/>
              <w:rPr>
                <w:sz w:val="20"/>
                <w:szCs w:val="20"/>
                <w:color w:val="auto"/>
              </w:rPr>
            </w:pPr>
            <w:r>
              <w:rPr>
                <w:rFonts w:ascii="Arial" w:cs="Arial" w:eastAsia="Arial" w:hAnsi="Arial"/>
                <w:sz w:val="18"/>
                <w:szCs w:val="18"/>
                <w:b w:val="1"/>
                <w:bCs w:val="1"/>
                <w:color w:val="auto"/>
              </w:rPr>
              <w:t>For the transition period from</w:t>
            </w:r>
          </w:p>
        </w:tc>
        <w:tc>
          <w:tcPr>
            <w:tcW w:w="2640" w:type="dxa"/>
            <w:vAlign w:val="bottom"/>
          </w:tcPr>
          <w:p>
            <w:pPr>
              <w:ind w:left="26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p>
        </w:tc>
        <w:tc>
          <w:tcPr>
            <w:tcW w:w="5780" w:type="dxa"/>
            <w:vAlign w:val="bottom"/>
            <w:gridSpan w:val="3"/>
          </w:tcPr>
          <w:p>
            <w:pPr>
              <w:jc w:val="center"/>
              <w:ind w:right="1059"/>
              <w:spacing w:after="0"/>
              <w:rPr>
                <w:sz w:val="20"/>
                <w:szCs w:val="20"/>
                <w:color w:val="auto"/>
              </w:rPr>
            </w:pPr>
            <w:r>
              <w:rPr>
                <w:rFonts w:ascii="Arial" w:cs="Arial" w:eastAsia="Arial" w:hAnsi="Arial"/>
                <w:sz w:val="18"/>
                <w:szCs w:val="18"/>
                <w:b w:val="1"/>
                <w:bCs w:val="1"/>
                <w:color w:val="auto"/>
                <w:w w:val="90"/>
              </w:rPr>
              <w:t>Commission file number 001-31553</w:t>
            </w:r>
          </w:p>
        </w:tc>
        <w:tc>
          <w:tcPr>
            <w:tcW w:w="0" w:type="dxa"/>
            <w:vAlign w:val="bottom"/>
          </w:tcPr>
          <w:p>
            <w:pPr>
              <w:spacing w:after="0"/>
              <w:rPr>
                <w:sz w:val="1"/>
                <w:szCs w:val="1"/>
                <w:color w:val="auto"/>
              </w:rPr>
            </w:pPr>
          </w:p>
        </w:tc>
      </w:tr>
      <w:tr>
        <w:trPr>
          <w:trHeight w:val="500"/>
        </w:trPr>
        <w:tc>
          <w:tcPr>
            <w:tcW w:w="2220" w:type="dxa"/>
            <w:vAlign w:val="bottom"/>
          </w:tcPr>
          <w:p>
            <w:pPr>
              <w:spacing w:after="0"/>
              <w:rPr>
                <w:sz w:val="24"/>
                <w:szCs w:val="24"/>
                <w:color w:val="auto"/>
              </w:rPr>
            </w:pPr>
          </w:p>
        </w:tc>
        <w:tc>
          <w:tcPr>
            <w:tcW w:w="5780" w:type="dxa"/>
            <w:vAlign w:val="bottom"/>
            <w:gridSpan w:val="3"/>
          </w:tcPr>
          <w:p>
            <w:pPr>
              <w:jc w:val="center"/>
              <w:ind w:right="1079"/>
              <w:spacing w:after="0"/>
              <w:rPr>
                <w:sz w:val="20"/>
                <w:szCs w:val="20"/>
                <w:color w:val="auto"/>
              </w:rPr>
            </w:pPr>
            <w:r>
              <w:rPr>
                <w:rFonts w:ascii="Arial" w:cs="Arial" w:eastAsia="Arial" w:hAnsi="Arial"/>
                <w:sz w:val="36"/>
                <w:szCs w:val="36"/>
                <w:b w:val="1"/>
                <w:bCs w:val="1"/>
                <w:color w:val="auto"/>
              </w:rPr>
              <w:t>CME GROUP INC.</w:t>
            </w:r>
          </w:p>
        </w:tc>
        <w:tc>
          <w:tcPr>
            <w:tcW w:w="0" w:type="dxa"/>
            <w:vAlign w:val="bottom"/>
          </w:tcPr>
          <w:p>
            <w:pPr>
              <w:spacing w:after="0"/>
              <w:rPr>
                <w:sz w:val="1"/>
                <w:szCs w:val="1"/>
                <w:color w:val="auto"/>
              </w:rPr>
            </w:pPr>
          </w:p>
        </w:tc>
      </w:tr>
      <w:tr>
        <w:trPr>
          <w:trHeight w:val="257"/>
        </w:trPr>
        <w:tc>
          <w:tcPr>
            <w:tcW w:w="2220" w:type="dxa"/>
            <w:vAlign w:val="bottom"/>
          </w:tcPr>
          <w:p>
            <w:pPr>
              <w:spacing w:after="0"/>
              <w:rPr>
                <w:sz w:val="22"/>
                <w:szCs w:val="22"/>
                <w:color w:val="auto"/>
              </w:rPr>
            </w:pPr>
          </w:p>
        </w:tc>
        <w:tc>
          <w:tcPr>
            <w:tcW w:w="5780" w:type="dxa"/>
            <w:vAlign w:val="bottom"/>
            <w:gridSpan w:val="3"/>
          </w:tcPr>
          <w:p>
            <w:pPr>
              <w:jc w:val="center"/>
              <w:ind w:right="1079"/>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0" w:type="dxa"/>
            <w:vAlign w:val="bottom"/>
          </w:tcPr>
          <w:p>
            <w:pPr>
              <w:spacing w:after="0"/>
              <w:rPr>
                <w:sz w:val="1"/>
                <w:szCs w:val="1"/>
                <w:color w:val="auto"/>
              </w:rPr>
            </w:pPr>
          </w:p>
        </w:tc>
      </w:tr>
      <w:tr>
        <w:trPr>
          <w:trHeight w:val="378"/>
        </w:trPr>
        <w:tc>
          <w:tcPr>
            <w:tcW w:w="2220" w:type="dxa"/>
            <w:vAlign w:val="bottom"/>
          </w:tcPr>
          <w:p>
            <w:pPr>
              <w:jc w:val="center"/>
              <w:ind w:right="261"/>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40" w:type="dxa"/>
            <w:vAlign w:val="bottom"/>
          </w:tcPr>
          <w:p>
            <w:pPr>
              <w:jc w:val="right"/>
              <w:ind w:right="39"/>
              <w:spacing w:after="0"/>
              <w:rPr>
                <w:sz w:val="20"/>
                <w:szCs w:val="20"/>
                <w:color w:val="auto"/>
              </w:rPr>
            </w:pPr>
            <w:r>
              <w:rPr>
                <w:rFonts w:ascii="Arial" w:cs="Arial" w:eastAsia="Arial" w:hAnsi="Arial"/>
                <w:sz w:val="18"/>
                <w:szCs w:val="18"/>
                <w:b w:val="1"/>
                <w:bCs w:val="1"/>
                <w:color w:val="auto"/>
              </w:rPr>
              <w:t>36-4459170</w:t>
            </w:r>
          </w:p>
        </w:tc>
        <w:tc>
          <w:tcPr>
            <w:tcW w:w="0" w:type="dxa"/>
            <w:vAlign w:val="bottom"/>
          </w:tcPr>
          <w:p>
            <w:pPr>
              <w:spacing w:after="0"/>
              <w:rPr>
                <w:sz w:val="1"/>
                <w:szCs w:val="1"/>
                <w:color w:val="auto"/>
              </w:rPr>
            </w:pPr>
          </w:p>
        </w:tc>
      </w:tr>
      <w:tr>
        <w:trPr>
          <w:trHeight w:val="180"/>
        </w:trPr>
        <w:tc>
          <w:tcPr>
            <w:tcW w:w="2220" w:type="dxa"/>
            <w:vAlign w:val="bottom"/>
          </w:tcPr>
          <w:p>
            <w:pPr>
              <w:jc w:val="center"/>
              <w:ind w:right="261"/>
              <w:spacing w:after="0"/>
              <w:rPr>
                <w:sz w:val="20"/>
                <w:szCs w:val="20"/>
                <w:color w:val="auto"/>
              </w:rPr>
            </w:pPr>
            <w:r>
              <w:rPr>
                <w:rFonts w:ascii="Arial" w:cs="Arial" w:eastAsia="Arial" w:hAnsi="Arial"/>
                <w:sz w:val="14"/>
                <w:szCs w:val="14"/>
                <w:b w:val="1"/>
                <w:bCs w:val="1"/>
                <w:color w:val="auto"/>
                <w:w w:val="93"/>
              </w:rPr>
              <w:t>(State or other jurisdiction of</w:t>
            </w:r>
          </w:p>
        </w:tc>
        <w:tc>
          <w:tcPr>
            <w:tcW w:w="1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40" w:type="dxa"/>
            <w:vAlign w:val="bottom"/>
          </w:tcPr>
          <w:p>
            <w:pPr>
              <w:jc w:val="center"/>
              <w:ind w:left="1439"/>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220" w:type="dxa"/>
            <w:vAlign w:val="bottom"/>
          </w:tcPr>
          <w:p>
            <w:pPr>
              <w:jc w:val="center"/>
              <w:ind w:right="261"/>
              <w:spacing w:after="0"/>
              <w:rPr>
                <w:sz w:val="20"/>
                <w:szCs w:val="20"/>
                <w:color w:val="auto"/>
              </w:rPr>
            </w:pPr>
            <w:r>
              <w:rPr>
                <w:rFonts w:ascii="Arial" w:cs="Arial" w:eastAsia="Arial" w:hAnsi="Arial"/>
                <w:sz w:val="14"/>
                <w:szCs w:val="14"/>
                <w:b w:val="1"/>
                <w:bCs w:val="1"/>
                <w:color w:val="auto"/>
                <w:w w:val="94"/>
              </w:rPr>
              <w:t>incorporation or organization)</w:t>
            </w:r>
          </w:p>
        </w:tc>
        <w:tc>
          <w:tcPr>
            <w:tcW w:w="16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40" w:type="dxa"/>
            <w:vAlign w:val="bottom"/>
          </w:tcPr>
          <w:p>
            <w:pPr>
              <w:jc w:val="center"/>
              <w:ind w:left="1439"/>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77"/>
        </w:trPr>
        <w:tc>
          <w:tcPr>
            <w:tcW w:w="2220" w:type="dxa"/>
            <w:vAlign w:val="bottom"/>
          </w:tcPr>
          <w:p>
            <w:pPr>
              <w:jc w:val="center"/>
              <w:ind w:right="261"/>
              <w:spacing w:after="0"/>
              <w:rPr>
                <w:sz w:val="20"/>
                <w:szCs w:val="20"/>
                <w:color w:val="auto"/>
              </w:rPr>
            </w:pPr>
            <w:r>
              <w:rPr>
                <w:rFonts w:ascii="Arial" w:cs="Arial" w:eastAsia="Arial" w:hAnsi="Arial"/>
                <w:sz w:val="18"/>
                <w:szCs w:val="18"/>
                <w:b w:val="1"/>
                <w:bCs w:val="1"/>
                <w:color w:val="auto"/>
                <w:w w:val="92"/>
              </w:rPr>
              <w:t>20 South Wacker Drive</w:t>
            </w:r>
          </w:p>
        </w:tc>
        <w:tc>
          <w:tcPr>
            <w:tcW w:w="1620" w:type="dxa"/>
            <w:vAlign w:val="bottom"/>
          </w:tcPr>
          <w:p>
            <w:pPr>
              <w:ind w:left="860"/>
              <w:spacing w:after="0"/>
              <w:rPr>
                <w:sz w:val="20"/>
                <w:szCs w:val="20"/>
                <w:color w:val="auto"/>
              </w:rPr>
            </w:pPr>
            <w:r>
              <w:rPr>
                <w:rFonts w:ascii="Arial" w:cs="Arial" w:eastAsia="Arial" w:hAnsi="Arial"/>
                <w:sz w:val="18"/>
                <w:szCs w:val="18"/>
                <w:b w:val="1"/>
                <w:bCs w:val="1"/>
                <w:color w:val="auto"/>
              </w:rPr>
              <w:t>Chicago</w:t>
            </w:r>
          </w:p>
        </w:tc>
        <w:tc>
          <w:tcPr>
            <w:tcW w:w="1520" w:type="dxa"/>
            <w:vAlign w:val="bottom"/>
          </w:tcPr>
          <w:p>
            <w:pPr>
              <w:ind w:left="300"/>
              <w:spacing w:after="0"/>
              <w:rPr>
                <w:sz w:val="20"/>
                <w:szCs w:val="20"/>
                <w:color w:val="auto"/>
              </w:rPr>
            </w:pPr>
            <w:r>
              <w:rPr>
                <w:rFonts w:ascii="Arial" w:cs="Arial" w:eastAsia="Arial" w:hAnsi="Arial"/>
                <w:sz w:val="18"/>
                <w:szCs w:val="18"/>
                <w:b w:val="1"/>
                <w:bCs w:val="1"/>
                <w:color w:val="auto"/>
              </w:rPr>
              <w:t>Illinois</w:t>
            </w:r>
          </w:p>
        </w:tc>
        <w:tc>
          <w:tcPr>
            <w:tcW w:w="2640" w:type="dxa"/>
            <w:vAlign w:val="bottom"/>
          </w:tcPr>
          <w:p>
            <w:pPr>
              <w:jc w:val="right"/>
              <w:ind w:right="259"/>
              <w:spacing w:after="0"/>
              <w:rPr>
                <w:sz w:val="20"/>
                <w:szCs w:val="20"/>
                <w:color w:val="auto"/>
              </w:rPr>
            </w:pPr>
            <w:r>
              <w:rPr>
                <w:rFonts w:ascii="Arial" w:cs="Arial" w:eastAsia="Arial" w:hAnsi="Arial"/>
                <w:sz w:val="18"/>
                <w:szCs w:val="18"/>
                <w:b w:val="1"/>
                <w:bCs w:val="1"/>
                <w:color w:val="auto"/>
              </w:rPr>
              <w:t>60606</w:t>
            </w:r>
          </w:p>
        </w:tc>
        <w:tc>
          <w:tcPr>
            <w:tcW w:w="0" w:type="dxa"/>
            <w:vAlign w:val="bottom"/>
          </w:tcPr>
          <w:p>
            <w:pPr>
              <w:spacing w:after="0"/>
              <w:rPr>
                <w:sz w:val="1"/>
                <w:szCs w:val="1"/>
                <w:color w:val="auto"/>
              </w:rPr>
            </w:pPr>
          </w:p>
        </w:tc>
      </w:tr>
      <w:tr>
        <w:trPr>
          <w:trHeight w:val="218"/>
        </w:trPr>
        <w:tc>
          <w:tcPr>
            <w:tcW w:w="3840" w:type="dxa"/>
            <w:vAlign w:val="bottom"/>
            <w:gridSpan w:val="2"/>
          </w:tcPr>
          <w:p>
            <w:pPr>
              <w:ind w:left="760"/>
              <w:spacing w:after="0"/>
              <w:rPr>
                <w:sz w:val="20"/>
                <w:szCs w:val="20"/>
                <w:color w:val="auto"/>
              </w:rPr>
            </w:pPr>
            <w:r>
              <w:rPr>
                <w:rFonts w:ascii="Arial" w:cs="Arial" w:eastAsia="Arial" w:hAnsi="Arial"/>
                <w:sz w:val="14"/>
                <w:szCs w:val="14"/>
                <w:b w:val="1"/>
                <w:bCs w:val="1"/>
                <w:color w:val="auto"/>
              </w:rPr>
              <w:t>(Address of principal executive offices)</w:t>
            </w:r>
          </w:p>
        </w:tc>
        <w:tc>
          <w:tcPr>
            <w:tcW w:w="15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0"/>
              </w:rPr>
              <w:t>(312) 930-1000</w:t>
            </w:r>
          </w:p>
        </w:tc>
        <w:tc>
          <w:tcPr>
            <w:tcW w:w="2640" w:type="dxa"/>
            <w:vAlign w:val="bottom"/>
          </w:tcPr>
          <w:p>
            <w:pPr>
              <w:jc w:val="center"/>
              <w:ind w:left="1439"/>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221"/>
        </w:trPr>
        <w:tc>
          <w:tcPr>
            <w:tcW w:w="2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5" w:lineRule="exact"/>
        <w:rPr>
          <w:sz w:val="24"/>
          <w:szCs w:val="24"/>
          <w:color w:val="auto"/>
        </w:rPr>
      </w:pPr>
    </w:p>
    <w:p>
      <w:pPr>
        <w:ind w:left="316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0" w:lineRule="exact"/>
        <w:rPr>
          <w:sz w:val="24"/>
          <w:szCs w:val="24"/>
          <w:color w:val="auto"/>
        </w:rPr>
      </w:pPr>
    </w:p>
    <w:p>
      <w:pPr>
        <w:spacing w:after="0" w:line="224" w:lineRule="exact"/>
        <w:rPr>
          <w:sz w:val="24"/>
          <w:szCs w:val="24"/>
          <w:color w:val="auto"/>
        </w:rPr>
      </w:pPr>
    </w:p>
    <w:tbl>
      <w:tblPr>
        <w:tblLayout w:type="fixed"/>
        <w:tblInd w:w="84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620" w:type="dxa"/>
            <w:vAlign w:val="bottom"/>
          </w:tcPr>
          <w:p>
            <w:pPr>
              <w:spacing w:after="0"/>
              <w:rPr>
                <w:sz w:val="18"/>
                <w:szCs w:val="18"/>
                <w:color w:val="auto"/>
              </w:rPr>
            </w:pPr>
          </w:p>
        </w:tc>
        <w:tc>
          <w:tcPr>
            <w:tcW w:w="2280" w:type="dxa"/>
            <w:vAlign w:val="bottom"/>
            <w:gridSpan w:val="2"/>
          </w:tcPr>
          <w:p>
            <w:pPr>
              <w:jc w:val="center"/>
              <w:ind w:right="1120"/>
              <w:spacing w:after="0"/>
              <w:rPr>
                <w:sz w:val="20"/>
                <w:szCs w:val="20"/>
                <w:color w:val="auto"/>
              </w:rPr>
            </w:pPr>
            <w:r>
              <w:rPr>
                <w:rFonts w:ascii="Arial" w:cs="Arial" w:eastAsia="Arial" w:hAnsi="Arial"/>
                <w:sz w:val="18"/>
                <w:szCs w:val="18"/>
                <w:color w:val="auto"/>
                <w:w w:val="90"/>
              </w:rPr>
              <w:t>Trading symbol</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91"/>
        </w:trPr>
        <w:tc>
          <w:tcPr>
            <w:tcW w:w="3140" w:type="dxa"/>
            <w:vAlign w:val="bottom"/>
            <w:gridSpan w:val="3"/>
          </w:tcPr>
          <w:p>
            <w:pPr>
              <w:jc w:val="center"/>
              <w:ind w:right="1400"/>
              <w:spacing w:after="0"/>
              <w:rPr>
                <w:sz w:val="20"/>
                <w:szCs w:val="20"/>
                <w:color w:val="auto"/>
              </w:rPr>
            </w:pPr>
            <w:r>
              <w:rPr>
                <w:rFonts w:ascii="Arial" w:cs="Arial" w:eastAsia="Arial" w:hAnsi="Arial"/>
                <w:sz w:val="18"/>
                <w:szCs w:val="18"/>
                <w:color w:val="auto"/>
                <w:w w:val="91"/>
              </w:rPr>
              <w:t>Class A Common Stock</w:t>
            </w:r>
          </w:p>
        </w:tc>
        <w:tc>
          <w:tcPr>
            <w:tcW w:w="2280" w:type="dxa"/>
            <w:vAlign w:val="bottom"/>
            <w:gridSpan w:val="2"/>
          </w:tcPr>
          <w:p>
            <w:pPr>
              <w:jc w:val="center"/>
              <w:ind w:right="1120"/>
              <w:spacing w:after="0"/>
              <w:rPr>
                <w:sz w:val="20"/>
                <w:szCs w:val="20"/>
                <w:color w:val="auto"/>
              </w:rPr>
            </w:pPr>
            <w:r>
              <w:rPr>
                <w:rFonts w:ascii="Arial" w:cs="Arial" w:eastAsia="Arial" w:hAnsi="Arial"/>
                <w:sz w:val="18"/>
                <w:szCs w:val="18"/>
                <w:color w:val="auto"/>
                <w:w w:val="99"/>
              </w:rPr>
              <w:t>CME</w:t>
            </w:r>
          </w:p>
        </w:tc>
        <w:tc>
          <w:tcPr>
            <w:tcW w:w="3180" w:type="dxa"/>
            <w:vAlign w:val="bottom"/>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21" w:lineRule="exact"/>
        <w:rPr>
          <w:sz w:val="24"/>
          <w:szCs w:val="24"/>
          <w:color w:val="auto"/>
        </w:rPr>
      </w:pPr>
    </w:p>
    <w:p>
      <w:pPr>
        <w:ind w:right="120" w:firstLine="324"/>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960" w:val="left"/>
          <w:tab w:leader="none" w:pos="36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08" w:lineRule="exact"/>
        <w:rPr>
          <w:sz w:val="24"/>
          <w:szCs w:val="24"/>
          <w:color w:val="auto"/>
        </w:rPr>
      </w:pPr>
    </w:p>
    <w:p>
      <w:pPr>
        <w:jc w:val="both"/>
        <w:ind w:right="80" w:firstLine="324"/>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207" w:lineRule="exact"/>
        <w:tabs>
          <w:tab w:leader="none" w:pos="1260" w:val="left"/>
          <w:tab w:leader="none" w:pos="1960" w:val="left"/>
        </w:tabs>
        <w:rPr>
          <w:sz w:val="20"/>
          <w:szCs w:val="20"/>
          <w:color w:val="auto"/>
        </w:rPr>
      </w:pPr>
      <w:r>
        <w:rPr>
          <w:rFonts w:ascii="Arial" w:cs="Arial" w:eastAsia="Arial" w:hAnsi="Arial"/>
          <w:sz w:val="18"/>
          <w:szCs w:val="18"/>
          <w:color w:val="auto"/>
        </w:rPr>
        <w:t>files).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100" w:type="dxa"/>
            <w:vAlign w:val="bottom"/>
          </w:tcPr>
          <w:p>
            <w:pPr>
              <w:jc w:val="center"/>
              <w:ind w:right="579"/>
              <w:spacing w:after="0"/>
              <w:rPr>
                <w:sz w:val="20"/>
                <w:szCs w:val="20"/>
                <w:color w:val="auto"/>
              </w:rPr>
            </w:pPr>
            <w:r>
              <w:rPr>
                <w:rFonts w:ascii="Arial" w:cs="Arial" w:eastAsia="Arial" w:hAnsi="Arial"/>
                <w:sz w:val="16"/>
                <w:szCs w:val="16"/>
                <w:color w:val="auto"/>
                <w:w w:val="90"/>
              </w:rPr>
              <w:t>Large accelerated filer</w:t>
            </w:r>
          </w:p>
        </w:tc>
        <w:tc>
          <w:tcPr>
            <w:tcW w:w="30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20" w:type="dxa"/>
            <w:vAlign w:val="bottom"/>
          </w:tcPr>
          <w:p>
            <w:pPr>
              <w:ind w:left="2140"/>
              <w:spacing w:after="0"/>
              <w:rPr>
                <w:sz w:val="20"/>
                <w:szCs w:val="20"/>
                <w:color w:val="auto"/>
              </w:rPr>
            </w:pPr>
            <w:r>
              <w:rPr>
                <w:rFonts w:ascii="Arial" w:cs="Arial" w:eastAsia="Arial" w:hAnsi="Arial"/>
                <w:sz w:val="16"/>
                <w:szCs w:val="16"/>
                <w:color w:val="auto"/>
              </w:rPr>
              <w:t>Accelerated filer</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100" w:type="dxa"/>
            <w:vAlign w:val="bottom"/>
          </w:tcPr>
          <w:p>
            <w:pPr>
              <w:jc w:val="center"/>
              <w:ind w:right="559"/>
              <w:spacing w:after="0"/>
              <w:rPr>
                <w:sz w:val="20"/>
                <w:szCs w:val="20"/>
                <w:color w:val="auto"/>
              </w:rPr>
            </w:pPr>
            <w:r>
              <w:rPr>
                <w:rFonts w:ascii="Arial" w:cs="Arial" w:eastAsia="Arial" w:hAnsi="Arial"/>
                <w:sz w:val="16"/>
                <w:szCs w:val="16"/>
                <w:color w:val="auto"/>
                <w:w w:val="93"/>
              </w:rPr>
              <w:t>Non-accelerated filer</w:t>
            </w:r>
          </w:p>
        </w:tc>
        <w:tc>
          <w:tcPr>
            <w:tcW w:w="30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620" w:type="dxa"/>
            <w:vAlign w:val="bottom"/>
          </w:tcPr>
          <w:p>
            <w:pPr>
              <w:ind w:left="2140"/>
              <w:spacing w:after="0"/>
              <w:rPr>
                <w:sz w:val="20"/>
                <w:szCs w:val="20"/>
                <w:color w:val="auto"/>
              </w:rPr>
            </w:pPr>
            <w:r>
              <w:rPr>
                <w:rFonts w:ascii="Arial" w:cs="Arial" w:eastAsia="Arial" w:hAnsi="Arial"/>
                <w:sz w:val="16"/>
                <w:szCs w:val="16"/>
                <w:color w:val="auto"/>
              </w:rPr>
              <w:t>Smaller reporting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10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4620" w:type="dxa"/>
            <w:vAlign w:val="bottom"/>
          </w:tcPr>
          <w:p>
            <w:pPr>
              <w:ind w:left="2140"/>
              <w:spacing w:after="0"/>
              <w:rPr>
                <w:sz w:val="20"/>
                <w:szCs w:val="20"/>
                <w:color w:val="auto"/>
              </w:rPr>
            </w:pPr>
            <w:r>
              <w:rPr>
                <w:rFonts w:ascii="Arial" w:cs="Arial" w:eastAsia="Arial" w:hAnsi="Arial"/>
                <w:sz w:val="16"/>
                <w:szCs w:val="16"/>
                <w:color w:val="auto"/>
              </w:rPr>
              <w:t>Emerging growth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8" w:lineRule="exact"/>
        <w:rPr>
          <w:sz w:val="24"/>
          <w:szCs w:val="24"/>
          <w:color w:val="auto"/>
        </w:rPr>
      </w:pPr>
    </w:p>
    <w:p>
      <w:pPr>
        <w:ind w:firstLine="324"/>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 w:lineRule="exact"/>
        <w:rPr>
          <w:sz w:val="24"/>
          <w:szCs w:val="24"/>
          <w:color w:val="auto"/>
        </w:rPr>
      </w:pPr>
    </w:p>
    <w:p>
      <w:pPr>
        <w:ind w:left="7780"/>
        <w:spacing w:after="0" w:line="207" w:lineRule="exact"/>
        <w:tabs>
          <w:tab w:leader="none" w:pos="8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6" w:lineRule="exact"/>
        <w:rPr>
          <w:sz w:val="24"/>
          <w:szCs w:val="24"/>
          <w:color w:val="auto"/>
        </w:rPr>
      </w:pPr>
    </w:p>
    <w:p>
      <w:pPr>
        <w:ind w:right="140"/>
        <w:spacing w:after="0" w:line="276" w:lineRule="auto"/>
        <w:rPr>
          <w:sz w:val="20"/>
          <w:szCs w:val="20"/>
          <w:color w:val="auto"/>
        </w:rPr>
      </w:pPr>
      <w:r>
        <w:rPr>
          <w:rFonts w:ascii="Arial" w:cs="Arial" w:eastAsia="Arial" w:hAnsi="Arial"/>
          <w:sz w:val="17"/>
          <w:szCs w:val="17"/>
          <w:color w:val="auto"/>
        </w:rPr>
        <w:t>The number of shares outstanding of each of the registrant’s classes of common stock as of October 16, 2019 was as follows: 358,360,548 shares of Class A common stock, $0.01 par value; 625 shares of Class B-1 common stock, $0.01 par value; 813 shares of Class B-2 common stock, $0.01 par value; 1,287 shares of Class B-3 common stock, $0.01 par value; and 413 shares of Class B-4 common stock, $0.01 par value.</w:t>
      </w:r>
    </w:p>
    <w:p>
      <w:pPr>
        <w:sectPr>
          <w:pgSz w:w="11900" w:h="16838" w:orient="portrait"/>
          <w:cols w:equalWidth="0" w:num="1">
            <w:col w:w="11400"/>
          </w:cols>
          <w:pgMar w:left="240" w:top="233" w:right="259" w:bottom="1440" w:gutter="0" w:footer="0" w:header="0"/>
        </w:sect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233"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CME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13"/>
        </w:trPr>
        <w:tc>
          <w:tcPr>
            <w:tcW w:w="2760" w:type="dxa"/>
            <w:vAlign w:val="bottom"/>
            <w:tcBorders>
              <w:bottom w:val="single" w:sz="8" w:color="0000EE"/>
            </w:tcBorders>
            <w:gridSpan w:val="9"/>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 FINANCIAL INFORMATION</w:t>
              </w:r>
            </w:hyperlink>
          </w:p>
        </w:tc>
        <w:tc>
          <w:tcPr>
            <w:tcW w:w="7940" w:type="dxa"/>
            <w:vAlign w:val="bottom"/>
            <w:gridSpan w:val="10"/>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9780" w:type="dxa"/>
            <w:vAlign w:val="bottom"/>
            <w:gridSpan w:val="18"/>
          </w:tcPr>
          <w:p>
            <w:pPr>
              <w:spacing w:after="0"/>
              <w:rPr>
                <w:rFonts w:ascii="Arial" w:cs="Arial" w:eastAsia="Arial" w:hAnsi="Arial"/>
                <w:sz w:val="16"/>
                <w:szCs w:val="16"/>
                <w:b w:val="1"/>
                <w:bCs w:val="1"/>
                <w:color w:val="0000EE"/>
              </w:rPr>
            </w:pPr>
            <w:hyperlink w:anchor="page5">
              <w:r>
                <w:rPr>
                  <w:rFonts w:ascii="Arial" w:cs="Arial" w:eastAsia="Arial" w:hAnsi="Arial"/>
                  <w:sz w:val="16"/>
                  <w:szCs w:val="16"/>
                  <w:b w:val="1"/>
                  <w:bCs w:val="1"/>
                  <w:color w:val="0000EE"/>
                </w:rPr>
                <w:t>Financial Statements</w:t>
              </w:r>
            </w:hyperlink>
          </w:p>
        </w:tc>
        <w:tc>
          <w:tcPr>
            <w:tcW w:w="6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780" w:type="dxa"/>
            <w:vAlign w:val="bottom"/>
            <w:gridSpan w:val="18"/>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Balance Sheets at September 30, 2019 and December 31, 2018</w:t>
              </w:r>
            </w:hyperlink>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6980" w:type="dxa"/>
            <w:vAlign w:val="bottom"/>
            <w:tcBorders>
              <w:bottom w:val="single" w:sz="8" w:color="0000EE"/>
            </w:tcBorders>
            <w:gridSpan w:val="16"/>
          </w:tcPr>
          <w:p>
            <w:pPr>
              <w:spacing w:after="0"/>
              <w:rPr>
                <w:rFonts w:ascii="Arial" w:cs="Arial" w:eastAsia="Arial" w:hAnsi="Arial"/>
                <w:sz w:val="16"/>
                <w:szCs w:val="16"/>
                <w:color w:val="0000EE"/>
                <w:w w:val="90"/>
              </w:rPr>
            </w:pPr>
            <w:hyperlink w:anchor="page6">
              <w:r>
                <w:rPr>
                  <w:rFonts w:ascii="Arial" w:cs="Arial" w:eastAsia="Arial" w:hAnsi="Arial"/>
                  <w:sz w:val="16"/>
                  <w:szCs w:val="16"/>
                  <w:color w:val="0000EE"/>
                  <w:w w:val="90"/>
                </w:rPr>
                <w:t>Consolidated Statements of Income for the Quarters and Nine Months Ended September 30, 2019 and 2018</w:t>
              </w:r>
            </w:hyperlink>
          </w:p>
        </w:tc>
        <w:tc>
          <w:tcPr>
            <w:tcW w:w="2800" w:type="dxa"/>
            <w:vAlign w:val="bottom"/>
            <w:gridSpan w:val="2"/>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780" w:type="dxa"/>
            <w:vAlign w:val="bottom"/>
            <w:gridSpan w:val="18"/>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Consolidated Statements of Comprehensive Income for the Quarters and Nine Months Ended September 30, 2019 and 2018</w:t>
              </w:r>
            </w:hyperlink>
          </w:p>
        </w:tc>
        <w:tc>
          <w:tcPr>
            <w:tcW w:w="6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6920" w:type="dxa"/>
            <w:vAlign w:val="bottom"/>
            <w:tcBorders>
              <w:top w:val="single" w:sz="8" w:color="0000EE"/>
              <w:bottom w:val="single" w:sz="8" w:color="0000EE"/>
            </w:tcBorders>
            <w:gridSpan w:val="15"/>
          </w:tcPr>
          <w:p>
            <w:pPr>
              <w:spacing w:after="0"/>
              <w:rPr>
                <w:rFonts w:ascii="Arial" w:cs="Arial" w:eastAsia="Arial" w:hAnsi="Arial"/>
                <w:sz w:val="16"/>
                <w:szCs w:val="16"/>
                <w:color w:val="0000EE"/>
                <w:w w:val="90"/>
              </w:rPr>
            </w:pPr>
            <w:hyperlink w:anchor="page8">
              <w:r>
                <w:rPr>
                  <w:rFonts w:ascii="Arial" w:cs="Arial" w:eastAsia="Arial" w:hAnsi="Arial"/>
                  <w:sz w:val="16"/>
                  <w:szCs w:val="16"/>
                  <w:color w:val="0000EE"/>
                  <w:w w:val="90"/>
                </w:rPr>
                <w:t>Consolidated Statements of Equity for the Quarters and Nine Months Ended September 30, 2019 and 2018</w:t>
              </w:r>
            </w:hyperlink>
          </w:p>
        </w:tc>
        <w:tc>
          <w:tcPr>
            <w:tcW w:w="1100" w:type="dxa"/>
            <w:vAlign w:val="bottom"/>
            <w:tcBorders>
              <w:top w:val="single" w:sz="8" w:color="0000EE"/>
            </w:tcBorders>
            <w:gridSpan w:val="2"/>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6380" w:type="dxa"/>
            <w:vAlign w:val="bottom"/>
            <w:tcBorders>
              <w:bottom w:val="single" w:sz="8" w:color="0000EE"/>
            </w:tcBorders>
            <w:gridSpan w:val="14"/>
          </w:tcPr>
          <w:p>
            <w:pPr>
              <w:spacing w:after="0"/>
              <w:rPr>
                <w:rFonts w:ascii="Arial" w:cs="Arial" w:eastAsia="Arial" w:hAnsi="Arial"/>
                <w:sz w:val="16"/>
                <w:szCs w:val="16"/>
                <w:color w:val="0000EE"/>
                <w:w w:val="90"/>
              </w:rPr>
            </w:pPr>
            <w:hyperlink w:anchor="page11">
              <w:r>
                <w:rPr>
                  <w:rFonts w:ascii="Arial" w:cs="Arial" w:eastAsia="Arial" w:hAnsi="Arial"/>
                  <w:sz w:val="16"/>
                  <w:szCs w:val="16"/>
                  <w:color w:val="0000EE"/>
                  <w:w w:val="90"/>
                </w:rPr>
                <w:t>Consolidated Statements of Cash Flows for the Nine Months Ended September 30, 2019 and 2018</w:t>
              </w:r>
            </w:hyperlink>
          </w:p>
        </w:tc>
        <w:tc>
          <w:tcPr>
            <w:tcW w:w="3400" w:type="dxa"/>
            <w:vAlign w:val="bottom"/>
            <w:gridSpan w:val="4"/>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780" w:type="dxa"/>
            <w:vAlign w:val="bottom"/>
            <w:gridSpan w:val="18"/>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Notes to Unaudited Consolidated Financial Statements</w:t>
              </w:r>
            </w:hyperlink>
          </w:p>
        </w:tc>
        <w:tc>
          <w:tcPr>
            <w:tcW w:w="680" w:type="dxa"/>
            <w:vAlign w:val="bottom"/>
          </w:tcPr>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13</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2.</w:t>
            </w: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c>
          <w:tcPr>
            <w:tcW w:w="0" w:type="dxa"/>
            <w:vAlign w:val="bottom"/>
          </w:tcPr>
          <w:p>
            <w:pPr>
              <w:spacing w:after="0" w:line="20" w:lineRule="exact"/>
              <w:rPr>
                <w:sz w:val="1"/>
                <w:szCs w:val="1"/>
                <w:color w:val="auto"/>
              </w:rPr>
            </w:pPr>
          </w:p>
        </w:tc>
      </w:tr>
      <w:tr>
        <w:trPr>
          <w:trHeight w:val="372"/>
        </w:trPr>
        <w:tc>
          <w:tcPr>
            <w:tcW w:w="920" w:type="dxa"/>
            <w:vAlign w:val="bottom"/>
            <w:vMerge w:val="continue"/>
          </w:tcPr>
          <w:p>
            <w:pPr>
              <w:spacing w:after="0"/>
              <w:rPr>
                <w:sz w:val="24"/>
                <w:szCs w:val="24"/>
                <w:color w:val="auto"/>
              </w:rPr>
            </w:pPr>
          </w:p>
        </w:tc>
        <w:tc>
          <w:tcPr>
            <w:tcW w:w="9780" w:type="dxa"/>
            <w:vAlign w:val="bottom"/>
            <w:gridSpan w:val="18"/>
          </w:tcPr>
          <w:p>
            <w:pPr>
              <w:spacing w:after="0"/>
              <w:rPr>
                <w:rFonts w:ascii="Arial" w:cs="Arial" w:eastAsia="Arial" w:hAnsi="Arial"/>
                <w:sz w:val="16"/>
                <w:szCs w:val="16"/>
                <w:b w:val="1"/>
                <w:bCs w:val="1"/>
                <w:color w:val="0000EE"/>
              </w:rPr>
            </w:pPr>
            <w:hyperlink w:anchor="page24">
              <w:r>
                <w:rPr>
                  <w:rFonts w:ascii="Arial" w:cs="Arial" w:eastAsia="Arial" w:hAnsi="Arial"/>
                  <w:sz w:val="16"/>
                  <w:szCs w:val="16"/>
                  <w:b w:val="1"/>
                  <w:bCs w:val="1"/>
                  <w:color w:val="0000EE"/>
                </w:rPr>
                <w:t>Management’s Discussion and Analysis of Financial Condition and Results of Operations</w:t>
              </w:r>
            </w:hyperlink>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4200" w:type="dxa"/>
            <w:vAlign w:val="bottom"/>
            <w:tcBorders>
              <w:top w:val="single" w:sz="8" w:color="0000EE"/>
              <w:bottom w:val="single" w:sz="8" w:color="0000EE"/>
            </w:tcBorders>
            <w:gridSpan w:val="11"/>
          </w:tcPr>
          <w:p>
            <w:pPr>
              <w:spacing w:after="0"/>
              <w:rPr>
                <w:rFonts w:ascii="Arial" w:cs="Arial" w:eastAsia="Arial" w:hAnsi="Arial"/>
                <w:sz w:val="16"/>
                <w:szCs w:val="16"/>
                <w:b w:val="1"/>
                <w:bCs w:val="1"/>
                <w:color w:val="0000EE"/>
                <w:w w:val="92"/>
              </w:rPr>
            </w:pPr>
            <w:hyperlink w:anchor="page32">
              <w:r>
                <w:rPr>
                  <w:rFonts w:ascii="Arial" w:cs="Arial" w:eastAsia="Arial" w:hAnsi="Arial"/>
                  <w:sz w:val="16"/>
                  <w:szCs w:val="16"/>
                  <w:b w:val="1"/>
                  <w:bCs w:val="1"/>
                  <w:color w:val="0000EE"/>
                  <w:w w:val="92"/>
                </w:rPr>
                <w:t>Quantitative and Qualitative Disclosures About Market Risk</w:t>
              </w:r>
            </w:hyperlink>
          </w:p>
        </w:tc>
        <w:tc>
          <w:tcPr>
            <w:tcW w:w="1940" w:type="dxa"/>
            <w:vAlign w:val="bottom"/>
            <w:tcBorders>
              <w:top w:val="single" w:sz="8" w:color="0000EE"/>
            </w:tcBorders>
            <w:gridSpan w:val="2"/>
          </w:tcPr>
          <w:p>
            <w:pPr>
              <w:spacing w:after="0"/>
              <w:rPr>
                <w:sz w:val="24"/>
                <w:szCs w:val="24"/>
                <w:color w:val="auto"/>
              </w:rPr>
            </w:pPr>
          </w:p>
        </w:tc>
        <w:tc>
          <w:tcPr>
            <w:tcW w:w="3640" w:type="dxa"/>
            <w:vAlign w:val="bottom"/>
            <w:gridSpan w:val="5"/>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1720" w:type="dxa"/>
            <w:vAlign w:val="bottom"/>
            <w:tcBorders>
              <w:bottom w:val="single" w:sz="8" w:color="0000EE"/>
            </w:tcBorders>
            <w:gridSpan w:val="7"/>
          </w:tcPr>
          <w:p>
            <w:pPr>
              <w:spacing w:after="0"/>
              <w:rPr>
                <w:rFonts w:ascii="Arial" w:cs="Arial" w:eastAsia="Arial" w:hAnsi="Arial"/>
                <w:sz w:val="16"/>
                <w:szCs w:val="16"/>
                <w:b w:val="1"/>
                <w:bCs w:val="1"/>
                <w:color w:val="0000EE"/>
                <w:w w:val="88"/>
              </w:rPr>
            </w:pPr>
            <w:hyperlink w:anchor="page33">
              <w:r>
                <w:rPr>
                  <w:rFonts w:ascii="Arial" w:cs="Arial" w:eastAsia="Arial" w:hAnsi="Arial"/>
                  <w:sz w:val="16"/>
                  <w:szCs w:val="16"/>
                  <w:b w:val="1"/>
                  <w:bCs w:val="1"/>
                  <w:color w:val="0000EE"/>
                  <w:w w:val="88"/>
                </w:rPr>
                <w:t>Controls and Procedures</w:t>
              </w:r>
            </w:hyperlink>
          </w:p>
        </w:tc>
        <w:tc>
          <w:tcPr>
            <w:tcW w:w="8060" w:type="dxa"/>
            <w:vAlign w:val="bottom"/>
            <w:gridSpan w:val="11"/>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358"/>
        </w:trPr>
        <w:tc>
          <w:tcPr>
            <w:tcW w:w="10700" w:type="dxa"/>
            <w:vAlign w:val="bottom"/>
            <w:gridSpan w:val="19"/>
          </w:tcPr>
          <w:p>
            <w:pPr>
              <w:spacing w:after="0"/>
              <w:rPr>
                <w:rFonts w:ascii="Arial" w:cs="Arial" w:eastAsia="Arial" w:hAnsi="Arial"/>
                <w:sz w:val="16"/>
                <w:szCs w:val="16"/>
                <w:b w:val="1"/>
                <w:bCs w:val="1"/>
                <w:color w:val="0000EE"/>
              </w:rPr>
            </w:pPr>
            <w:hyperlink w:anchor="page33">
              <w:r>
                <w:rPr>
                  <w:rFonts w:ascii="Arial" w:cs="Arial" w:eastAsia="Arial" w:hAnsi="Arial"/>
                  <w:sz w:val="16"/>
                  <w:szCs w:val="16"/>
                  <w:b w:val="1"/>
                  <w:bCs w:val="1"/>
                  <w:color w:val="0000EE"/>
                </w:rPr>
                <w:t>PART II. OTHER INFORMATION</w:t>
              </w:r>
            </w:hyperlink>
          </w:p>
        </w:tc>
        <w:tc>
          <w:tcPr>
            <w:tcW w:w="68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385"/>
        </w:trPr>
        <w:tc>
          <w:tcPr>
            <w:tcW w:w="920" w:type="dxa"/>
            <w:vAlign w:val="bottom"/>
            <w:tcBorders>
              <w:top w:val="single" w:sz="8" w:color="0000EE"/>
            </w:tcBorders>
          </w:tcPr>
          <w:p>
            <w:pPr>
              <w:spacing w:after="0"/>
              <w:rPr>
                <w:sz w:val="20"/>
                <w:szCs w:val="20"/>
                <w:color w:val="auto"/>
              </w:rPr>
            </w:pPr>
            <w:r>
              <w:rPr>
                <w:rFonts w:ascii="Arial" w:cs="Arial" w:eastAsia="Arial" w:hAnsi="Arial"/>
                <w:sz w:val="16"/>
                <w:szCs w:val="16"/>
                <w:b w:val="1"/>
                <w:bCs w:val="1"/>
                <w:color w:val="auto"/>
              </w:rPr>
              <w:t>Item 1.</w:t>
            </w:r>
          </w:p>
        </w:tc>
        <w:tc>
          <w:tcPr>
            <w:tcW w:w="1260" w:type="dxa"/>
            <w:vAlign w:val="bottom"/>
            <w:tcBorders>
              <w:top w:val="single" w:sz="8" w:color="0000EE"/>
              <w:bottom w:val="single" w:sz="8" w:color="0000EE"/>
            </w:tcBorders>
            <w:gridSpan w:val="4"/>
          </w:tcPr>
          <w:p>
            <w:pPr>
              <w:spacing w:after="0"/>
              <w:rPr>
                <w:rFonts w:ascii="Arial" w:cs="Arial" w:eastAsia="Arial" w:hAnsi="Arial"/>
                <w:sz w:val="16"/>
                <w:szCs w:val="16"/>
                <w:b w:val="1"/>
                <w:bCs w:val="1"/>
                <w:color w:val="0000EE"/>
                <w:w w:val="87"/>
              </w:rPr>
            </w:pPr>
            <w:hyperlink w:anchor="page33">
              <w:r>
                <w:rPr>
                  <w:rFonts w:ascii="Arial" w:cs="Arial" w:eastAsia="Arial" w:hAnsi="Arial"/>
                  <w:sz w:val="16"/>
                  <w:szCs w:val="16"/>
                  <w:b w:val="1"/>
                  <w:bCs w:val="1"/>
                  <w:color w:val="0000EE"/>
                  <w:w w:val="87"/>
                </w:rPr>
                <w:t>Legal Proceedings</w:t>
              </w:r>
            </w:hyperlink>
          </w:p>
        </w:tc>
        <w:tc>
          <w:tcPr>
            <w:tcW w:w="300" w:type="dxa"/>
            <w:vAlign w:val="bottom"/>
            <w:tcBorders>
              <w:top w:val="single" w:sz="8" w:color="0000EE"/>
            </w:tcBorders>
            <w:gridSpan w:val="2"/>
          </w:tcPr>
          <w:p>
            <w:pPr>
              <w:spacing w:after="0"/>
              <w:rPr>
                <w:sz w:val="24"/>
                <w:szCs w:val="24"/>
                <w:color w:val="auto"/>
              </w:rPr>
            </w:pPr>
          </w:p>
        </w:tc>
        <w:tc>
          <w:tcPr>
            <w:tcW w:w="8220" w:type="dxa"/>
            <w:vAlign w:val="bottom"/>
            <w:gridSpan w:val="12"/>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1A.</w:t>
            </w:r>
          </w:p>
        </w:tc>
        <w:tc>
          <w:tcPr>
            <w:tcW w:w="880" w:type="dxa"/>
            <w:vAlign w:val="bottom"/>
            <w:tcBorders>
              <w:bottom w:val="single" w:sz="8" w:color="0000EE"/>
            </w:tcBorders>
            <w:gridSpan w:val="3"/>
          </w:tcPr>
          <w:p>
            <w:pPr>
              <w:spacing w:after="0"/>
              <w:rPr>
                <w:rFonts w:ascii="Arial" w:cs="Arial" w:eastAsia="Arial" w:hAnsi="Arial"/>
                <w:sz w:val="16"/>
                <w:szCs w:val="16"/>
                <w:b w:val="1"/>
                <w:bCs w:val="1"/>
                <w:color w:val="0000EE"/>
                <w:w w:val="89"/>
              </w:rPr>
            </w:pPr>
            <w:hyperlink w:anchor="page33">
              <w:r>
                <w:rPr>
                  <w:rFonts w:ascii="Arial" w:cs="Arial" w:eastAsia="Arial" w:hAnsi="Arial"/>
                  <w:sz w:val="16"/>
                  <w:szCs w:val="16"/>
                  <w:b w:val="1"/>
                  <w:bCs w:val="1"/>
                  <w:color w:val="0000EE"/>
                  <w:w w:val="89"/>
                </w:rPr>
                <w:t>Risk Factors</w:t>
              </w:r>
            </w:hyperlink>
          </w:p>
        </w:tc>
        <w:tc>
          <w:tcPr>
            <w:tcW w:w="8900" w:type="dxa"/>
            <w:vAlign w:val="bottom"/>
            <w:gridSpan w:val="15"/>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780" w:type="dxa"/>
            <w:vAlign w:val="bottom"/>
            <w:gridSpan w:val="18"/>
          </w:tcPr>
          <w:p>
            <w:pPr>
              <w:spacing w:after="0"/>
              <w:rPr>
                <w:rFonts w:ascii="Arial" w:cs="Arial" w:eastAsia="Arial" w:hAnsi="Arial"/>
                <w:sz w:val="16"/>
                <w:szCs w:val="16"/>
                <w:b w:val="1"/>
                <w:bCs w:val="1"/>
                <w:color w:val="0000EE"/>
              </w:rPr>
            </w:pPr>
            <w:hyperlink w:anchor="page34">
              <w:r>
                <w:rPr>
                  <w:rFonts w:ascii="Arial" w:cs="Arial" w:eastAsia="Arial" w:hAnsi="Arial"/>
                  <w:sz w:val="16"/>
                  <w:szCs w:val="16"/>
                  <w:b w:val="1"/>
                  <w:bCs w:val="1"/>
                  <w:color w:val="0000EE"/>
                </w:rPr>
                <w:t>Unregistered Sales of Equity Securities and Use of Proceeds</w:t>
              </w:r>
            </w:hyperlink>
          </w:p>
        </w:tc>
        <w:tc>
          <w:tcPr>
            <w:tcW w:w="68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4100" w:type="dxa"/>
            <w:vAlign w:val="bottom"/>
            <w:tcBorders>
              <w:top w:val="single" w:sz="8" w:color="0000EE"/>
            </w:tcBorders>
            <w:gridSpan w:val="10"/>
          </w:tcPr>
          <w:p>
            <w:pPr>
              <w:spacing w:after="0"/>
              <w:rPr>
                <w:rFonts w:ascii="Arial" w:cs="Arial" w:eastAsia="Arial" w:hAnsi="Arial"/>
                <w:sz w:val="16"/>
                <w:szCs w:val="16"/>
                <w:b w:val="1"/>
                <w:bCs w:val="1"/>
                <w:color w:val="0000EE"/>
              </w:rPr>
            </w:pPr>
            <w:hyperlink w:anchor="page34">
              <w:r>
                <w:rPr>
                  <w:rFonts w:ascii="Arial" w:cs="Arial" w:eastAsia="Arial" w:hAnsi="Arial"/>
                  <w:sz w:val="16"/>
                  <w:szCs w:val="16"/>
                  <w:b w:val="1"/>
                  <w:bCs w:val="1"/>
                  <w:color w:val="0000EE"/>
                </w:rPr>
                <w:t>Exhibits</w:t>
              </w:r>
            </w:hyperlink>
          </w:p>
        </w:tc>
        <w:tc>
          <w:tcPr>
            <w:tcW w:w="5680" w:type="dxa"/>
            <w:vAlign w:val="bottom"/>
            <w:gridSpan w:val="8"/>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20" w:type="dxa"/>
            <w:vAlign w:val="bottom"/>
            <w:gridSpan w:val="16"/>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c>
          <w:tcPr>
            <w:tcW w:w="0" w:type="dxa"/>
            <w:vAlign w:val="bottom"/>
          </w:tcPr>
          <w:p>
            <w:pPr>
              <w:spacing w:after="0" w:line="20" w:lineRule="exact"/>
              <w:rPr>
                <w:sz w:val="1"/>
                <w:szCs w:val="1"/>
                <w:color w:val="auto"/>
              </w:rPr>
            </w:pPr>
          </w:p>
        </w:tc>
      </w:tr>
      <w:tr>
        <w:trPr>
          <w:trHeight w:val="358"/>
        </w:trPr>
        <w:tc>
          <w:tcPr>
            <w:tcW w:w="1040" w:type="dxa"/>
            <w:vAlign w:val="bottom"/>
            <w:tcBorders>
              <w:bottom w:val="single" w:sz="8" w:color="0000EE"/>
            </w:tcBorders>
            <w:gridSpan w:val="2"/>
          </w:tcPr>
          <w:p>
            <w:pPr>
              <w:spacing w:after="0"/>
              <w:rPr>
                <w:rFonts w:ascii="Arial" w:cs="Arial" w:eastAsia="Arial" w:hAnsi="Arial"/>
                <w:sz w:val="16"/>
                <w:szCs w:val="16"/>
                <w:b w:val="1"/>
                <w:bCs w:val="1"/>
                <w:color w:val="0000EE"/>
                <w:w w:val="97"/>
              </w:rPr>
            </w:pPr>
            <w:hyperlink w:anchor="page35">
              <w:r>
                <w:rPr>
                  <w:rFonts w:ascii="Arial" w:cs="Arial" w:eastAsia="Arial" w:hAnsi="Arial"/>
                  <w:sz w:val="16"/>
                  <w:szCs w:val="16"/>
                  <w:b w:val="1"/>
                  <w:bCs w:val="1"/>
                  <w:color w:val="0000EE"/>
                  <w:w w:val="97"/>
                </w:rPr>
                <w:t>SIGNATURES</w:t>
              </w:r>
            </w:hyperlink>
          </w:p>
        </w:tc>
        <w:tc>
          <w:tcPr>
            <w:tcW w:w="9660" w:type="dxa"/>
            <w:vAlign w:val="bottom"/>
            <w:gridSpan w:val="17"/>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920" w:type="dxa"/>
            <w:vAlign w:val="bottom"/>
          </w:tcPr>
          <w:p>
            <w:pPr>
              <w:spacing w:after="0"/>
              <w:rPr>
                <w:sz w:val="24"/>
                <w:szCs w:val="24"/>
                <w:color w:val="auto"/>
              </w:rPr>
            </w:pPr>
          </w:p>
        </w:tc>
        <w:tc>
          <w:tcPr>
            <w:tcW w:w="4960" w:type="dxa"/>
            <w:vAlign w:val="bottom"/>
            <w:gridSpan w:val="12"/>
          </w:tcPr>
          <w:p>
            <w:pPr>
              <w:ind w:left="4700"/>
              <w:spacing w:after="0"/>
              <w:rPr>
                <w:sz w:val="20"/>
                <w:szCs w:val="20"/>
                <w:color w:val="auto"/>
              </w:rPr>
            </w:pPr>
            <w:r>
              <w:rPr>
                <w:rFonts w:ascii="Arial" w:cs="Arial" w:eastAsia="Arial" w:hAnsi="Arial"/>
                <w:sz w:val="18"/>
                <w:szCs w:val="18"/>
                <w:color w:val="auto"/>
              </w:rPr>
              <w:t>2</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website does not constitute a part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All amounts regarding contract volume and average rate per contract are for CME Group's listed futures and options on futures contracts unless otherwise noted.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7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CME Group,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COMEX is a trademark of Commodity Exchange, Inc. NEX, BrokerTec, EBS, TriOptima, and Traiana are trademarks of various entities that are under NEX, all of which are owned by CME Group. Dow Jones, Dow Jones Industrial Average, S&amp;P 500 and S&amp;P are services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139" w:lineRule="exact"/>
        <w:rPr>
          <w:sz w:val="20"/>
          <w:szCs w:val="20"/>
          <w:color w:val="auto"/>
        </w:rPr>
      </w:pPr>
    </w:p>
    <w:p>
      <w:pPr>
        <w:ind w:left="660" w:right="2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181" w:lineRule="exact"/>
        <w:rPr>
          <w:rFonts w:ascii="Arial" w:cs="Arial" w:eastAsia="Arial" w:hAnsi="Arial"/>
          <w:sz w:val="18"/>
          <w:szCs w:val="18"/>
          <w:color w:val="auto"/>
        </w:rPr>
      </w:pPr>
    </w:p>
    <w:p>
      <w:pPr>
        <w:jc w:val="both"/>
        <w:ind w:left="660" w:right="8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swaps market;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globally offer our products and services;</w:t>
      </w:r>
    </w:p>
    <w:p>
      <w:pPr>
        <w:spacing w:after="0" w:line="225"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regulations, including the impact of any changes in laws or government policy with respect to our products or services or our industry, such as any changes to regulations and policies that require increased financial and operational resources from us or our customers;</w:t>
      </w:r>
    </w:p>
    <w:p>
      <w:pPr>
        <w:spacing w:after="0" w:line="123" w:lineRule="exact"/>
        <w:rPr>
          <w:rFonts w:ascii="Arial" w:cs="Arial" w:eastAsia="Arial" w:hAnsi="Arial"/>
          <w:sz w:val="16"/>
          <w:szCs w:val="16"/>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revenue from our market data as a result of decreased demand or changes to regulations in various jurisdictions;</w:t>
      </w:r>
    </w:p>
    <w:p>
      <w:pPr>
        <w:spacing w:after="0" w:line="225"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ectPr>
          <w:pgSz w:w="11900" w:h="16838" w:orient="portrait"/>
          <w:cols w:equalWidth="0" w:num="1">
            <w:col w:w="11360"/>
          </w:cols>
          <w:pgMar w:left="240" w:top="125" w:right="299" w:bottom="1440" w:gutter="0" w:footer="0" w:header="0"/>
        </w:sect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60"/>
          </w:cols>
          <w:pgMar w:left="240" w:top="125" w:right="29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60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credit and liquidity risk management practices to adequately protect us from the credit risks of clearing members and other counterparties, and to satisfy the margin and liquidity requirements associated with the BrokerTec matched principal business;</w:t>
      </w:r>
    </w:p>
    <w:p>
      <w:pPr>
        <w:spacing w:after="0" w:line="146" w:lineRule="exact"/>
        <w:rPr>
          <w:rFonts w:ascii="Arial" w:cs="Arial" w:eastAsia="Arial" w:hAnsi="Arial"/>
          <w:sz w:val="17"/>
          <w:szCs w:val="17"/>
          <w:color w:val="auto"/>
        </w:rPr>
      </w:pPr>
    </w:p>
    <w:p>
      <w:pPr>
        <w:ind w:left="660" w:right="8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146"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in commodity, equity and fixed income prices, and price volatility of financial benchmarks and instruments such as interest rates, credit spreads, equity indices, fixed income instruments and foreign exchange rates;</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and market conditions, including the volatility of the capital and credit markets and the impact of economic conditions on the trading activity of our current and potential customers;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control the costs and achieve the synergies associated with our strategy for acquisitions, investments and alliances, including those associated with the acquisition of NEX;</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reputation;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our Annual Report on Form 10-K, filed with the Securities and Exchange Commission on February 28, 2019 and Item 1A. of this Quarterly Report on Form 10-Q.</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125" w:right="3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88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5"/>
        </w:trPr>
        <w:tc>
          <w:tcPr>
            <w:tcW w:w="1240" w:type="dxa"/>
            <w:vAlign w:val="bottom"/>
          </w:tcPr>
          <w:p>
            <w:pPr>
              <w:spacing w:after="0"/>
              <w:rPr>
                <w:sz w:val="19"/>
                <w:szCs w:val="19"/>
                <w:color w:val="auto"/>
              </w:rPr>
            </w:pPr>
          </w:p>
        </w:tc>
        <w:tc>
          <w:tcPr>
            <w:tcW w:w="688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CME GROUP INC. AND SUBSIDIARIES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88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1240" w:type="dxa"/>
            <w:vAlign w:val="bottom"/>
          </w:tcPr>
          <w:p>
            <w:pPr>
              <w:spacing w:after="0"/>
              <w:rPr>
                <w:sz w:val="20"/>
                <w:szCs w:val="20"/>
                <w:color w:val="auto"/>
              </w:rPr>
            </w:pPr>
          </w:p>
        </w:tc>
        <w:tc>
          <w:tcPr>
            <w:tcW w:w="6880" w:type="dxa"/>
            <w:vAlign w:val="bottom"/>
          </w:tcPr>
          <w:p>
            <w:pPr>
              <w:jc w:val="center"/>
              <w:ind w:left="1970"/>
              <w:spacing w:after="0"/>
              <w:rPr>
                <w:sz w:val="20"/>
                <w:szCs w:val="20"/>
                <w:color w:val="auto"/>
              </w:rPr>
            </w:pPr>
            <w:r>
              <w:rPr>
                <w:rFonts w:ascii="Arial" w:cs="Arial" w:eastAsia="Arial" w:hAnsi="Arial"/>
                <w:sz w:val="18"/>
                <w:szCs w:val="18"/>
                <w:color w:val="auto"/>
                <w:w w:val="90"/>
              </w:rPr>
              <w:t>(dollars in millions, except par value data; shares in thousands)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9"/>
        </w:trPr>
        <w:tc>
          <w:tcPr>
            <w:tcW w:w="1240" w:type="dxa"/>
            <w:vAlign w:val="bottom"/>
            <w:tcBorders>
              <w:bottom w:val="single" w:sz="8" w:color="CCEEFF"/>
            </w:tcBorders>
          </w:tcPr>
          <w:p>
            <w:pPr>
              <w:spacing w:after="0"/>
              <w:rPr>
                <w:sz w:val="24"/>
                <w:szCs w:val="24"/>
                <w:color w:val="auto"/>
              </w:rPr>
            </w:pPr>
          </w:p>
        </w:tc>
        <w:tc>
          <w:tcPr>
            <w:tcW w:w="68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1"/>
              </w:rPr>
              <w:t>September 30, 2019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3"/>
              </w:rPr>
              <w:t>December 31, 2018</w:t>
            </w:r>
          </w:p>
        </w:tc>
      </w:tr>
      <w:tr>
        <w:trPr>
          <w:trHeight w:val="270"/>
        </w:trPr>
        <w:tc>
          <w:tcPr>
            <w:tcW w:w="1240" w:type="dxa"/>
            <w:vAlign w:val="bottom"/>
            <w:shd w:val="clear" w:color="auto" w:fill="CCEEFF"/>
          </w:tcPr>
          <w:p>
            <w:pPr>
              <w:spacing w:after="0"/>
              <w:rPr>
                <w:sz w:val="23"/>
                <w:szCs w:val="23"/>
                <w:color w:val="auto"/>
              </w:rPr>
            </w:pPr>
          </w:p>
        </w:tc>
        <w:tc>
          <w:tcPr>
            <w:tcW w:w="68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6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2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Current Assets:</w:t>
            </w:r>
          </w:p>
        </w:tc>
        <w:tc>
          <w:tcPr>
            <w:tcW w:w="6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1,210.1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1,374.5</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 of allowance of $2.9 and $2.7</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545.7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553.3</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assets (includes $5.1 and $1.5 in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430.5</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41,161.3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39,455.5</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43,692.3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41,886.7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Property, net of accumulated depreciation and amortization of $837.3 and $761.1</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517.3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448.7</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assets—trading products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17,175.3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17,175.3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assets—other, net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5,161.2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5,500.1</w:t>
            </w:r>
          </w:p>
        </w:tc>
      </w:tr>
      <w:tr>
        <w:trPr>
          <w:trHeight w:val="27"/>
        </w:trPr>
        <w:tc>
          <w:tcPr>
            <w:tcW w:w="12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6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10,774.4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10,805.3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assets (includes $0.9 and $1.2 in restricted cash)</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2,097.1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1,659.6</w:t>
            </w:r>
          </w:p>
        </w:tc>
      </w:tr>
      <w:tr>
        <w:trPr>
          <w:trHeight w:val="27"/>
        </w:trPr>
        <w:tc>
          <w:tcPr>
            <w:tcW w:w="124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6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79,417.6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77,475.7</w:t>
            </w:r>
          </w:p>
        </w:tc>
      </w:tr>
      <w:tr>
        <w:trPr>
          <w:trHeight w:val="20"/>
        </w:trPr>
        <w:tc>
          <w:tcPr>
            <w:tcW w:w="81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12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116.0</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Short-term debt</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574.2</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1,126.9</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41,160.4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39,455.5</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41,913.5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41,272.6</w:t>
            </w: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w w:val="96"/>
              </w:rPr>
              <w:t>Long-term debt</w:t>
            </w:r>
          </w:p>
        </w:tc>
        <w:tc>
          <w:tcPr>
            <w:tcW w:w="6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3,873.3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3,826.8</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5,665.9</w:t>
            </w: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w w:val="99"/>
              </w:rPr>
              <w:t>Other liabilities</w:t>
            </w:r>
          </w:p>
        </w:tc>
        <w:tc>
          <w:tcPr>
            <w:tcW w:w="6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1,203.1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745.1</w:t>
            </w:r>
          </w:p>
        </w:tc>
      </w:tr>
      <w:tr>
        <w:trPr>
          <w:trHeight w:val="27"/>
        </w:trPr>
        <w:tc>
          <w:tcPr>
            <w:tcW w:w="124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Total Liabilities</w:t>
            </w:r>
          </w:p>
        </w:tc>
        <w:tc>
          <w:tcPr>
            <w:tcW w:w="6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52,604.3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51,510.4</w:t>
            </w:r>
          </w:p>
        </w:tc>
      </w:tr>
      <w:tr>
        <w:trPr>
          <w:trHeight w:val="223"/>
        </w:trPr>
        <w:tc>
          <w:tcPr>
            <w:tcW w:w="124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5"/>
              </w:rPr>
              <w:t>Preferred stock, $0.01 par value, 10,000 shares authorized at September 30, 2019 and December 31,</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2018; none issued</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Class A common stock, $0.01 par value, 1,000,000 shares authorized at September 30, 2019 and</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6"/>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2"/>
              </w:rPr>
              <w:t>December 31, 2018; 357,447 and 356,824 shares issued and outstanding as of September 30, 2019 and</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December 31, 2018,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1"/>
              </w:rPr>
              <w:t>Class B common stock, $0.01 par value, 3 shares authorized, issued and outstanding as of September 30,</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2019 and December 31, 2018</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21,107.5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21,054.3</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5,704.2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4,855.3</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CME Group Shareholders’ Equity</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26,783.2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25,918.5</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w:t>
            </w:r>
          </w:p>
        </w:tc>
      </w:tr>
      <w:tr>
        <w:trPr>
          <w:trHeight w:val="237"/>
        </w:trPr>
        <w:tc>
          <w:tcPr>
            <w:tcW w:w="124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6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26,813.3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25,965.3</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79,417.6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77,475.7</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Clearing and transaction fees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1,040.7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752.5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3,045.1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9"/>
              </w:rPr>
              <w:t>2,632.2</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121.2</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1,277.3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3,729.6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3,072.8</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75.4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71.0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122.8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205.9</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Total Expenses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592.1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354.3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1,714.8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1,115.1</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1,957.7</w:t>
            </w:r>
          </w:p>
        </w:tc>
      </w:tr>
      <w:tr>
        <w:trPr>
          <w:trHeight w:val="216"/>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Investment income</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490.3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559.8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borrowing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Equity in net earnings of unconsolidated subsidiaries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113.6</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(415.6)</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Total Non-Operating Income (Expense)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149.6</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2,107.3</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418.7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530.6</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1,576.7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Less: net (income) loss attributable to non-controlling interests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CME Group</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636.3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1,647.0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1,576.7</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11"/>
        </w:trPr>
        <w:tc>
          <w:tcPr>
            <w:tcW w:w="6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 Attributable to CME Group:</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4.64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Weighted Average Number of Common Shares: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357,211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339,586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357,054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2"/>
              </w:rPr>
              <w:t>339,453</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358,369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341,035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358,201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340,907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0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636.3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1,576.7</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Reclassification of net (gains) losses on sales included in investment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securities,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Defined benefit plans: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defined benefit plans arising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29"/>
        </w:trPr>
        <w:tc>
          <w:tcPr>
            <w:tcW w:w="6080" w:type="dxa"/>
            <w:vAlign w:val="bottom"/>
          </w:tcPr>
          <w:p>
            <w:pPr>
              <w:ind w:left="500"/>
              <w:spacing w:after="0"/>
              <w:rPr>
                <w:sz w:val="20"/>
                <w:szCs w:val="20"/>
                <w:color w:val="auto"/>
              </w:rPr>
            </w:pPr>
            <w:r>
              <w:rPr>
                <w:rFonts w:ascii="Arial" w:cs="Arial" w:eastAsia="Arial" w:hAnsi="Arial"/>
                <w:sz w:val="18"/>
                <w:szCs w:val="18"/>
                <w:color w:val="auto"/>
                <w:w w:val="95"/>
              </w:rPr>
              <w:t>Amortization of net actuarial (gains) losses included in compensation and</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080" w:type="dxa"/>
            <w:vAlign w:val="bottom"/>
          </w:tcPr>
          <w:p>
            <w:pPr>
              <w:ind w:left="500"/>
              <w:spacing w:after="0"/>
              <w:rPr>
                <w:sz w:val="20"/>
                <w:szCs w:val="20"/>
                <w:color w:val="auto"/>
              </w:rPr>
            </w:pPr>
            <w:r>
              <w:rPr>
                <w:rFonts w:ascii="Arial" w:cs="Arial" w:eastAsia="Arial" w:hAnsi="Arial"/>
                <w:sz w:val="18"/>
                <w:szCs w:val="18"/>
                <w:color w:val="auto"/>
              </w:rPr>
              <w:t>benefits expense</w:t>
            </w:r>
          </w:p>
        </w:tc>
        <w:tc>
          <w:tcPr>
            <w:tcW w:w="3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Defined benefit plans,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Amortization of effective portion of net (gains) losses on cash flow hedges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included in interest expense</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investments,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net</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0.6</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CME Group</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598.5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1,609.5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1,577.3</w:t>
            </w: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211455</wp:posOffset>
            </wp:positionV>
            <wp:extent cx="60115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8"/>
          </w:tcPr>
          <w:p>
            <w:pPr>
              <w:ind w:left="120"/>
              <w:spacing w:after="0"/>
              <w:rPr>
                <w:sz w:val="20"/>
                <w:szCs w:val="20"/>
                <w:color w:val="auto"/>
              </w:rPr>
            </w:pPr>
            <w:r>
              <w:rPr>
                <w:rFonts w:ascii="Arial" w:cs="Arial" w:eastAsia="Arial" w:hAnsi="Arial"/>
                <w:sz w:val="14"/>
                <w:szCs w:val="14"/>
                <w:b w:val="1"/>
                <w:bCs w:val="1"/>
                <w:color w:val="auto"/>
              </w:rPr>
              <w:t>Nine Months Ended, September 30, 2019</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Stock and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9"/>
              </w:rPr>
              <w:t>Total CME Group</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2"/>
                <w:szCs w:val="12"/>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3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5"/>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Balance at December 31,</w:t>
            </w: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356,824</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21,057.9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4,855.3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25,918.5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25,965.3</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1,647.0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1,647.0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1,646.8</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rPr>
              <w:t>Dividends on common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w w:val="98"/>
              </w:rPr>
              <w:t>stock of $2.25 per share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(805.0)</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of adoption of</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standards updates on</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leasing</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rPr>
              <w:t>Changes in non-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40"/>
              <w:spacing w:after="0"/>
              <w:rPr>
                <w:sz w:val="20"/>
                <w:szCs w:val="20"/>
                <w:color w:val="auto"/>
              </w:rPr>
            </w:pPr>
            <w:r>
              <w:rPr>
                <w:rFonts w:ascii="Arial" w:cs="Arial" w:eastAsia="Arial" w:hAnsi="Arial"/>
                <w:sz w:val="18"/>
                <w:szCs w:val="18"/>
                <w:color w:val="auto"/>
                <w:w w:val="94"/>
              </w:rPr>
              <w:t>controlling interest due to</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40"/>
              <w:spacing w:after="0"/>
              <w:rPr>
                <w:sz w:val="20"/>
                <w:szCs w:val="20"/>
                <w:color w:val="auto"/>
              </w:rPr>
            </w:pPr>
            <w:r>
              <w:rPr>
                <w:rFonts w:ascii="Arial" w:cs="Arial" w:eastAsia="Arial" w:hAnsi="Arial"/>
                <w:sz w:val="18"/>
                <w:szCs w:val="18"/>
                <w:color w:val="auto"/>
              </w:rPr>
              <w:t>measurement period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Exercise of stock options</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rPr>
              <w:t>Vesting of issued</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40"/>
              <w:spacing w:after="0"/>
              <w:rPr>
                <w:sz w:val="20"/>
                <w:szCs w:val="20"/>
                <w:color w:val="auto"/>
              </w:rPr>
            </w:pPr>
            <w:r>
              <w:rPr>
                <w:rFonts w:ascii="Arial" w:cs="Arial" w:eastAsia="Arial" w:hAnsi="Arial"/>
                <w:sz w:val="18"/>
                <w:szCs w:val="18"/>
                <w:color w:val="auto"/>
              </w:rPr>
              <w:t>restricted Class A</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Shares issued to Board of</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Directors</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rPr>
              <w:t>Shares issued under</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40"/>
              <w:spacing w:after="0"/>
              <w:rPr>
                <w:sz w:val="20"/>
                <w:szCs w:val="20"/>
                <w:color w:val="auto"/>
              </w:rPr>
            </w:pPr>
            <w:r>
              <w:rPr>
                <w:rFonts w:ascii="Arial" w:cs="Arial" w:eastAsia="Arial" w:hAnsi="Arial"/>
                <w:sz w:val="18"/>
                <w:szCs w:val="18"/>
                <w:color w:val="auto"/>
                <w:w w:val="89"/>
              </w:rPr>
              <w:t>Employee Stock Purchase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rPr>
              <w:t>Plan</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05"/>
        </w:trPr>
        <w:tc>
          <w:tcPr>
            <w:tcW w:w="19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Balance at September</w:t>
            </w:r>
          </w:p>
        </w:tc>
        <w:tc>
          <w:tcPr>
            <w:tcW w:w="92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8"/>
                <w:szCs w:val="18"/>
                <w:color w:val="auto"/>
              </w:rPr>
              <w:t>357,447</w:t>
            </w:r>
          </w:p>
        </w:tc>
        <w:tc>
          <w:tcPr>
            <w:tcW w:w="120" w:type="dxa"/>
            <w:vAlign w:val="bottom"/>
          </w:tcPr>
          <w:p>
            <w:pPr>
              <w:spacing w:after="0"/>
              <w:rPr>
                <w:sz w:val="17"/>
                <w:szCs w:val="17"/>
                <w:color w:val="auto"/>
              </w:rPr>
            </w:pPr>
          </w:p>
        </w:tc>
        <w:tc>
          <w:tcPr>
            <w:tcW w:w="820" w:type="dxa"/>
            <w:vAlign w:val="bottom"/>
            <w:tcBorders>
              <w:top w:val="single" w:sz="8" w:color="auto"/>
            </w:tcBorders>
            <w:vMerge w:val="restart"/>
          </w:tcPr>
          <w:p>
            <w:pPr>
              <w:jc w:val="right"/>
              <w:ind w:right="4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8"/>
                <w:szCs w:val="18"/>
                <w:color w:val="auto"/>
              </w:rPr>
              <w:t>21,111.2</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8"/>
                <w:szCs w:val="18"/>
                <w:color w:val="auto"/>
              </w:rPr>
              <w:t>5,704.2</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26,783.2</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26,813.3</w:t>
            </w:r>
          </w:p>
        </w:tc>
        <w:tc>
          <w:tcPr>
            <w:tcW w:w="0" w:type="dxa"/>
            <w:vAlign w:val="bottom"/>
          </w:tcPr>
          <w:p>
            <w:pPr>
              <w:spacing w:after="0"/>
              <w:rPr>
                <w:sz w:val="1"/>
                <w:szCs w:val="1"/>
                <w:color w:val="auto"/>
              </w:rPr>
            </w:pPr>
          </w:p>
        </w:tc>
      </w:tr>
      <w:tr>
        <w:trPr>
          <w:trHeight w:val="246"/>
        </w:trPr>
        <w:tc>
          <w:tcPr>
            <w:tcW w:w="1960" w:type="dxa"/>
            <w:vAlign w:val="bottom"/>
          </w:tcPr>
          <w:p>
            <w:pPr>
              <w:ind w:left="40"/>
              <w:spacing w:after="0"/>
              <w:rPr>
                <w:sz w:val="20"/>
                <w:szCs w:val="20"/>
                <w:color w:val="auto"/>
              </w:rPr>
            </w:pPr>
            <w:r>
              <w:rPr>
                <w:rFonts w:ascii="Arial" w:cs="Arial" w:eastAsia="Arial" w:hAnsi="Arial"/>
                <w:sz w:val="18"/>
                <w:szCs w:val="18"/>
                <w:b w:val="1"/>
                <w:bCs w:val="1"/>
                <w:color w:val="auto"/>
              </w:rPr>
              <w:t>30, 2019</w:t>
            </w:r>
          </w:p>
        </w:tc>
        <w:tc>
          <w:tcPr>
            <w:tcW w:w="9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228600</wp:posOffset>
            </wp:positionV>
            <wp:extent cx="60115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w w:val="94"/>
              </w:rPr>
              <w:t>Quarter Ended, September 30, 2019</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Stock and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9"/>
              </w:rPr>
              <w:t>Total CME Group</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2"/>
                <w:szCs w:val="12"/>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3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Balance at June 30, 2019</w:t>
            </w:r>
          </w:p>
        </w:tc>
        <w:tc>
          <w:tcPr>
            <w:tcW w:w="9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357,143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21,112.8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5,336.8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26,484.9</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636.3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636.3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636.3</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rPr>
              <w:t>Dividends on common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w w:val="98"/>
              </w:rPr>
              <w:t>stock of $0.75 per share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non-</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controlling interest due to</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measurement period</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w w:val="95"/>
              </w:rPr>
              <w:t>Exercise of stock options</w:t>
            </w: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Vesting of issued</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Class A</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rPr>
              <w:t>Stock-based</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rPr>
              <w:t>compensation</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Balance at September</w:t>
            </w: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357,447</w:t>
            </w: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21,111.2</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5,704.2</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26,783.2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26,813.3</w:t>
            </w:r>
          </w:p>
        </w:tc>
        <w:tc>
          <w:tcPr>
            <w:tcW w:w="0" w:type="dxa"/>
            <w:vAlign w:val="bottom"/>
          </w:tcPr>
          <w:p>
            <w:pPr>
              <w:spacing w:after="0"/>
              <w:rPr>
                <w:sz w:val="1"/>
                <w:szCs w:val="1"/>
                <w:color w:val="auto"/>
              </w:rPr>
            </w:pPr>
          </w:p>
        </w:tc>
      </w:tr>
      <w:tr>
        <w:trPr>
          <w:trHeight w:val="24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30, 2019</w:t>
            </w: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211455</wp:posOffset>
            </wp:positionV>
            <wp:extent cx="4562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8"/>
          </w:tcPr>
          <w:p>
            <w:pPr>
              <w:jc w:val="center"/>
              <w:ind w:right="980"/>
              <w:spacing w:after="0"/>
              <w:rPr>
                <w:sz w:val="20"/>
                <w:szCs w:val="20"/>
                <w:color w:val="auto"/>
              </w:rPr>
            </w:pPr>
            <w:r>
              <w:rPr>
                <w:rFonts w:ascii="Arial" w:cs="Arial" w:eastAsia="Arial" w:hAnsi="Arial"/>
                <w:sz w:val="14"/>
                <w:szCs w:val="14"/>
                <w:b w:val="1"/>
                <w:bCs w:val="1"/>
                <w:color w:val="auto"/>
                <w:w w:val="93"/>
              </w:rPr>
              <w:t>Nine Months Ended, September 30, 2018</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Class A</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 and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10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339,235</w:t>
            </w:r>
          </w:p>
        </w:tc>
        <w:tc>
          <w:tcPr>
            <w:tcW w:w="120" w:type="dxa"/>
            <w:vAlign w:val="bottom"/>
          </w:tcPr>
          <w:p>
            <w:pPr>
              <w:spacing w:after="0"/>
              <w:rPr>
                <w:sz w:val="21"/>
                <w:szCs w:val="21"/>
                <w:color w:val="auto"/>
              </w:rPr>
            </w:pPr>
          </w:p>
        </w:tc>
        <w:tc>
          <w:tcPr>
            <w:tcW w:w="80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17,900.3</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4,497.2</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22,411.8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1,576.7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1,576.7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4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on common stock of $2.10 per share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0" w:type="dxa"/>
            <w:vAlign w:val="bottom"/>
          </w:tcPr>
          <w:p>
            <w:pPr>
              <w:spacing w:after="0"/>
              <w:rPr>
                <w:sz w:val="1"/>
                <w:szCs w:val="1"/>
                <w:color w:val="auto"/>
              </w:rPr>
            </w:pPr>
          </w:p>
        </w:tc>
      </w:tr>
      <w:tr>
        <w:trPr>
          <w:trHeight w:val="229"/>
        </w:trPr>
        <w:tc>
          <w:tcPr>
            <w:tcW w:w="4240" w:type="dxa"/>
            <w:vAlign w:val="bottom"/>
          </w:tcPr>
          <w:p>
            <w:pPr>
              <w:ind w:left="40"/>
              <w:spacing w:after="0"/>
              <w:rPr>
                <w:sz w:val="20"/>
                <w:szCs w:val="20"/>
                <w:color w:val="auto"/>
              </w:rPr>
            </w:pPr>
            <w:r>
              <w:rPr>
                <w:rFonts w:ascii="Arial" w:cs="Arial" w:eastAsia="Arial" w:hAnsi="Arial"/>
                <w:sz w:val="18"/>
                <w:szCs w:val="18"/>
                <w:color w:val="auto"/>
                <w:w w:val="98"/>
              </w:rPr>
              <w:t>Impact of adoption of standards update on tax effects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0"/>
              <w:spacing w:after="0"/>
              <w:rPr>
                <w:sz w:val="20"/>
                <w:szCs w:val="20"/>
                <w:color w:val="auto"/>
              </w:rPr>
            </w:pPr>
            <w:r>
              <w:rPr>
                <w:rFonts w:ascii="Arial" w:cs="Arial" w:eastAsia="Arial" w:hAnsi="Arial"/>
                <w:sz w:val="18"/>
                <w:szCs w:val="18"/>
                <w:color w:val="auto"/>
                <w:w w:val="92"/>
              </w:rPr>
              <w:t>related to accumulated other comprehensive income and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revenue recognition</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Vesting of issued restricted Class A common stock</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to Board of Directors</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w w:val="98"/>
              </w:rPr>
              <w:t>Shares issued under Employee Stock Purchase Plan</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Balance at September 30, 2018</w:t>
            </w:r>
          </w:p>
        </w:tc>
        <w:tc>
          <w:tcPr>
            <w:tcW w:w="10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339,860</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17,930.6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5,346.4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23,295.7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2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8"/>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24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660" w:type="dxa"/>
            <w:vAlign w:val="bottom"/>
            <w:tcBorders>
              <w:bottom w:val="single" w:sz="8" w:color="auto"/>
            </w:tcBorders>
            <w:gridSpan w:val="8"/>
          </w:tcPr>
          <w:p>
            <w:pPr>
              <w:jc w:val="center"/>
              <w:ind w:right="980"/>
              <w:spacing w:after="0"/>
              <w:rPr>
                <w:sz w:val="20"/>
                <w:szCs w:val="20"/>
                <w:color w:val="auto"/>
              </w:rPr>
            </w:pPr>
            <w:r>
              <w:rPr>
                <w:rFonts w:ascii="Arial" w:cs="Arial" w:eastAsia="Arial" w:hAnsi="Arial"/>
                <w:sz w:val="14"/>
                <w:szCs w:val="14"/>
                <w:b w:val="1"/>
                <w:bCs w:val="1"/>
                <w:color w:val="auto"/>
                <w:w w:val="93"/>
              </w:rPr>
              <w:t>Quarter Ended, September 30, 2018</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Class A</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 and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Balance at June 30, 2018</w:t>
            </w:r>
          </w:p>
        </w:tc>
        <w:tc>
          <w:tcPr>
            <w:tcW w:w="10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339,520</w:t>
            </w:r>
          </w:p>
        </w:tc>
        <w:tc>
          <w:tcPr>
            <w:tcW w:w="120" w:type="dxa"/>
            <w:vAlign w:val="bottom"/>
          </w:tcPr>
          <w:p>
            <w:pPr>
              <w:spacing w:after="0"/>
              <w:rPr>
                <w:sz w:val="21"/>
                <w:szCs w:val="21"/>
                <w:color w:val="auto"/>
              </w:rPr>
            </w:pPr>
          </w:p>
        </w:tc>
        <w:tc>
          <w:tcPr>
            <w:tcW w:w="80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17,931.7</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5,173.3</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23,123.6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on common stock of $0.70 per share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 of issued restricted Class A common stock</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Shares issued to Board of Directors</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Shares issued under Employee Stock Purchase Plan</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2018</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339,860</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17,930.6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5,346.4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23,295.7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13335</wp:posOffset>
            </wp:positionV>
            <wp:extent cx="1800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1,646.8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1,576.7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85.8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losses on assets held for sale and impaired</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Unrealized loss on derivative contracts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51.4</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realized and unrealized losses (gains) on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Undistributed net earnings of unconsolidated subsidiaries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 in:</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1,930.4</w:t>
            </w:r>
          </w:p>
        </w:tc>
      </w:tr>
      <w:tr>
        <w:trPr>
          <w:trHeight w:val="291"/>
        </w:trPr>
        <w:tc>
          <w:tcPr>
            <w:tcW w:w="85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available-for-sale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Purchases of property, net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of investments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8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commercial paper, net of maturities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debt, net of issuance costs</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1,185.3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dividends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(1,900.1)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Premium payment for derivative contract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Settlement of derivative contracts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taxes paid on restricted stock vesting</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11.9</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(767.8)</w:t>
            </w:r>
          </w:p>
        </w:tc>
      </w:tr>
      <w:tr>
        <w:trPr>
          <w:trHeight w:val="20"/>
        </w:trPr>
        <w:tc>
          <w:tcPr>
            <w:tcW w:w="8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3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352"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13335</wp:posOffset>
            </wp:positionV>
            <wp:extent cx="1800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cash equivalents and restricted cash</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1,123.7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1,377.2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1,906.0</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3,029.7</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1,210.1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1,406.3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1,622.1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Long-term restricted cash</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3,029.7</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8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taxes paid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550.6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410.6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84.8</w:t>
            </w:r>
          </w:p>
        </w:tc>
      </w:tr>
      <w:tr>
        <w:trPr>
          <w:trHeight w:val="27"/>
        </w:trPr>
        <w:tc>
          <w:tcPr>
            <w:tcW w:w="8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600"/>
        <w:spacing w:after="0" w:line="286" w:lineRule="auto"/>
        <w:rPr>
          <w:sz w:val="20"/>
          <w:szCs w:val="20"/>
          <w:color w:val="auto"/>
        </w:rPr>
      </w:pPr>
      <w:r>
        <w:rPr>
          <w:rFonts w:ascii="Arial" w:cs="Arial" w:eastAsia="Arial" w:hAnsi="Arial"/>
          <w:sz w:val="17"/>
          <w:szCs w:val="17"/>
          <w:color w:val="auto"/>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and NEX Group Limited (NEX). The clearing house is a division of CME.</w:t>
      </w:r>
    </w:p>
    <w:p>
      <w:pPr>
        <w:spacing w:after="0" w:line="13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Effective November 2, 2018, CME Group completed its acquisition of NEX. NEX offers electronic trade execution platforms for the foreign exchange and fixed income over-the-counter markets as well as other services across the transaction lifecycle, including trade and portfolio management and portfolio compression. The financial statements and accompanying notes presented in this report include the financial results of NEX and its subsidiaries beginning on November 3, 2018.</w:t>
      </w:r>
    </w:p>
    <w:p>
      <w:pPr>
        <w:spacing w:after="0" w:line="16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normal recurring adjustments considered necessary to present fairly the financial position of the company at September 30, 2019 and December 31, 2018 and the results of operations and cash flows for the periods indicated. Quarterly results are not necessarily indicative of results for any subsequent period.</w:t>
      </w:r>
    </w:p>
    <w:p>
      <w:pPr>
        <w:spacing w:after="0" w:line="1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notes thereto in CME Group’s Annual Report on Form 10-K for the year ended December 31, 2018, filed with the Securities and Exchange Commission (SEC) on February 28, 2019.</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19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b w:val="1"/>
          <w:bCs w:val="1"/>
          <w:color w:val="auto"/>
        </w:rPr>
        <w:t xml:space="preserve">Newly Adopted Accounting Policies. </w:t>
      </w:r>
      <w:r>
        <w:rPr>
          <w:rFonts w:ascii="Arial" w:cs="Arial" w:eastAsia="Arial" w:hAnsi="Arial"/>
          <w:sz w:val="16"/>
          <w:szCs w:val="16"/>
          <w:color w:val="auto"/>
        </w:rPr>
        <w:t>In February 2016, the FASB issued a standards update that requires lessees to recognize on the balance sheet the assets</w:t>
      </w:r>
      <w:r>
        <w:rPr>
          <w:rFonts w:ascii="Arial" w:cs="Arial" w:eastAsia="Arial" w:hAnsi="Arial"/>
          <w:sz w:val="16"/>
          <w:szCs w:val="16"/>
          <w:b w:val="1"/>
          <w:bCs w:val="1"/>
          <w:color w:val="auto"/>
        </w:rPr>
        <w:t xml:space="preserve"> </w:t>
      </w:r>
      <w:r>
        <w:rPr>
          <w:rFonts w:ascii="Arial" w:cs="Arial" w:eastAsia="Arial" w:hAnsi="Arial"/>
          <w:sz w:val="16"/>
          <w:szCs w:val="16"/>
          <w:color w:val="auto"/>
        </w:rPr>
        <w:t>and liabilities associated with the rights and obligations created by those leases. The guidance for lessors is largely unchanged from current accounting rules. Under the new guidance, a lessee will be required to recognize assets and liabilities for leases with lease terms of more than 12 months. Consistent with current accounting standards, the recognition, measurement, and presentation of expenses and cash flows arising from a lease by a lessee primarily will depend on its classification as a finance or operating lease. The company implemented this standard on January 1, 2019 using the modified retrospective approach with a cumulative effect of initially applying the guidance recognized on the date of initial adoption. Upon adoption of the new standard on January 1, 2019, the company recognized a lease liability of $568.0 million and right-of-use asset of $448.2 million.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Recently Issued Accounting Pronouncements. </w:t>
      </w:r>
      <w:r>
        <w:rPr>
          <w:rFonts w:ascii="Arial" w:cs="Arial" w:eastAsia="Arial" w:hAnsi="Arial"/>
          <w:sz w:val="16"/>
          <w:szCs w:val="16"/>
          <w:color w:val="auto"/>
        </w:rPr>
        <w:t>In June 2016, the FASB issued guidance that changes how credit losses are measured for most financial</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assets measured at amortized cost and certain other instruments. The standard requires an entity to estimate its lifetime expected credit loss and record an</w:t>
      </w:r>
    </w:p>
    <w:p>
      <w:pPr>
        <w:spacing w:after="0" w:line="3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allowance, that when deducted from the amortized cost basis of the financial asset, presents the net amount expected to be collected on the financial asset. This forward-looking expected loss model generally will result in the earlier recognition of allowances for losses. The standard also amends the impairment model for available for sale debt securities and requires entities to determine whether all or a portion of the unrealized loss on an available for sale debt security is a credit loss. Severity and duration of the unrealized loss are no longer permissible factors in concluding whether a credit loss exists. Entities will recognize improvements to estimated credit losses on available for sale debt securities immediately in earnings rather than as interest income over time. The standard is effective for reporting periods beginning after December 15, 2019. The standard’s provisions must be applied as a cumulative-effect adjustment to retained earnings as of the beginning of the first reporting period in which the guidance is effective. Early adoption is permitted for reporting periods beginning in 2019. The company does not believe that the adoption of this guidance in 2020 will have a material impact on the consolidated financial statements.</w:t>
      </w:r>
    </w:p>
    <w:p>
      <w:pPr>
        <w:spacing w:after="0" w:line="14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August 2018, the FASB issued a standards update that modifies the disclosure requirements for employers that sponsor defined pension or other postretirement plans. The guidance clarifies certain existing disclosures and expands the requirements for others. Disclosures that are not considered cost beneficial are removed by the update. Also, there is a new disclosure requirement to include an explanation of the reasons for significant gains and losses related to changes in the benefit obligation for the period. This guidance is effective for reporting periods beginning in 2021. Early adoption is permitted. The company plans to update the disclosures for these changes upon adoption of the guidance in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generates revenue from customers from the following sources:</w:t>
      </w:r>
    </w:p>
    <w:p>
      <w:pPr>
        <w:spacing w:after="0" w:line="19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i w:val="1"/>
          <w:iCs w:val="1"/>
          <w:color w:val="auto"/>
        </w:rPr>
        <w:t xml:space="preserve">Clearing and transaction fees. </w:t>
      </w:r>
      <w:r>
        <w:rPr>
          <w:rFonts w:ascii="Arial" w:cs="Arial" w:eastAsia="Arial" w:hAnsi="Arial"/>
          <w:sz w:val="18"/>
          <w:szCs w:val="18"/>
          <w:color w:val="auto"/>
        </w:rPr>
        <w:t>Clearing and transaction fees include electronic trading fees and brokerage commissions, surcharges for privately-negotiated</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portfolio reconciliation and compression services, risk mitigation and other volume-related charges for trade contracts. Clearing and transaction fees are assessed upfront at the time of trade execution. As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such, the company recognizes the majority of the fee revenue upon successful execution of the trade. The minimal remaining portion of the fee revenue related to settlement activities performed after trade execution is recognized over the short-term period that the contract is outstanding, based on management’s estimates of the average contract lifecycle. These estimates are based on various assumptions to approximate the amount of fee revenue to be attributed to services performed through contract settlement, expiration, or termination. For cleared trades, these assumptions include the average number of days that a contract remains in open interest, contract turnover, average revenue per day, and revenue remaining in open interest at the end of each period.</w:t>
      </w:r>
    </w:p>
    <w:p>
      <w:pPr>
        <w:spacing w:after="0" w:line="10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nature of contracts gives rise to several types of variable consideration, including volume-based pricing tiers, customer incentives associated with market maker programs and other fee discounts. The company includes fee discounts and incentives in the estimated transaction price when there is a basis to reasonably estimate the amount of the fee reduction. These estimates are based on historical experience, anticipated performance, and best judgment at the time. Because of the company's certainty in estimating these amounts, they are included in the transaction price of contracts.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Market data and information services. </w:t>
      </w:r>
      <w:r>
        <w:rPr>
          <w:rFonts w:ascii="Arial" w:cs="Arial" w:eastAsia="Arial" w:hAnsi="Arial"/>
          <w:sz w:val="18"/>
          <w:szCs w:val="18"/>
          <w:color w:val="auto"/>
        </w:rPr>
        <w:t>Market data and information services represent revenue from the dissemination of market data to subscribers,</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distributors, and other third-party licensees of market data. Pricing for market data is primarily based on the number of reportable devices used as well as the number of subscribers enrolled under the arrangement. Fees for these services are generally billed monthly. Market data services are satisfied over time and revenue is recognized on a monthly basis as the customers receive and consume the benefit of the market data services. However, the company also maintains certain annual license arrangements with one-time upfront fees. The fees for annual licenses are initially recorded as a contract liability and recognized as revenue monthly over the term of the annual period.</w:t>
      </w:r>
    </w:p>
    <w:p>
      <w:pPr>
        <w:spacing w:after="0" w:line="13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Other revenues include certain access and communication fees, fees for collateral management, fees for trade order routing through agreements from</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strategic relationships, as well as other post-trade services to customers and clearing firms. Access and communication fees are charges to customers that utilize various telecommunications networks and communications services. Fees for these services are generally billed monthly and the associated fee revenue is recognized as billed. Collateral management fees are charged to clearing firms that have collateral on deposit with CME to meet their minimum performance bond and guaranty fund obligations on the exchange. These fees are calculated based on daily collateral balances and are billed monthly. This fee revenue is recognized monthly as billed as the customers receive and consume the benefits of the services. Pricing for strategic relationships may be driven by customer levels and activity. There are fee arrangements which provide for monthly as well as quarterly payments in arrears. Revenue is recognized monthly for strategic relationship arrangements as the customers receive and consume the benefits of the services.</w:t>
      </w:r>
    </w:p>
    <w:p>
      <w:pPr>
        <w:spacing w:after="0" w:line="13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represents a disaggregation of revenue from contracts with customers for the quarters and nine months ended September 30, 2019 and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7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rates</w:t>
            </w:r>
          </w:p>
        </w:tc>
        <w:tc>
          <w:tcPr>
            <w:tcW w:w="2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242.0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869.3</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Equity indexes</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128.0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447.9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480.4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Agricultural commodities</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106.8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350.7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369.3</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164.5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548.0</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Metals</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183.4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markets business</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clearing and transaction fees</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752.5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3,045.1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2,632.2</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110.7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388.2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7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97"/>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revenues</w:t>
            </w:r>
          </w:p>
        </w:tc>
        <w:tc>
          <w:tcPr>
            <w:tcW w:w="27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1,277.3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4"/>
              </w:rPr>
              <w:t>904.2</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3,729.6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3,072.8</w:t>
            </w:r>
          </w:p>
        </w:tc>
        <w:tc>
          <w:tcPr>
            <w:tcW w:w="0" w:type="dxa"/>
            <w:vAlign w:val="bottom"/>
          </w:tcPr>
          <w:p>
            <w:pPr>
              <w:spacing w:after="0"/>
              <w:rPr>
                <w:sz w:val="1"/>
                <w:szCs w:val="1"/>
                <w:color w:val="auto"/>
              </w:rPr>
            </w:pPr>
          </w:p>
        </w:tc>
      </w:tr>
      <w:tr>
        <w:trPr>
          <w:trHeight w:val="149"/>
        </w:trPr>
        <w:tc>
          <w:tcPr>
            <w:tcW w:w="450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Timing of Revenue Recognition</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 transferred at a point in time</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741.8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2,854.3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2,590.2</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Services transferred over time</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160.3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861.2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475.8</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One-time charges and miscellaneous revenues</w:t>
            </w:r>
          </w:p>
        </w:tc>
        <w:tc>
          <w:tcPr>
            <w:tcW w:w="27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57"/>
        </w:trPr>
        <w:tc>
          <w:tcPr>
            <w:tcW w:w="45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7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1,277.3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4"/>
              </w:rPr>
              <w:t>904.2</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3,729.6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3,072.8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700" w:type="dxa"/>
            <w:vAlign w:val="bottom"/>
            <w:vMerge w:val="restart"/>
          </w:tcPr>
          <w:p>
            <w:pPr>
              <w:jc w:val="right"/>
              <w:ind w:right="131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0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timing of revenue recognition, billings and cash collections results in billed accounts receivable, and customer advances and deposits (contract liabilities) on the consolidated balance sheets. Certain fees for transactions, annual licenses, and other revenue arrangements are billed upfront before revenue is recognized, which results in the recognition of contract liabilities. These liabilities are recognized on the consolidated balance sheets on a contract-by-contract basis at the end of each reporting period. For annual licenses and upfront fee arrangements, the company generally bills customers upon contract execution. These payments are recognized as revenue over time as the obligations under the contracts are satisfied. Changes in the contract liability balances during the nine months ended September 30, 2019 were not materially impacted by any other factors. The balance of contract liabilities was $50.4 million and $44.4 million as of September 30, 2019 and December 31, 2018,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Performance Bonds and Guaranty Fund Contributions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Performance Bonds and Guaranty Fund Contributions. </w:t>
      </w:r>
      <w:r>
        <w:rPr>
          <w:rFonts w:ascii="Arial" w:cs="Arial" w:eastAsia="Arial" w:hAnsi="Arial"/>
          <w:sz w:val="17"/>
          <w:szCs w:val="17"/>
          <w:color w:val="auto"/>
        </w:rPr>
        <w:t>At September 30, 2019, performance bonds and guaranty fund contribution assets on the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sheets include cash as well as U.S. Treasury securities and U.S. government agency securities. U.S. Treasury securities and U.S. government agency securities are purchased by CME, at its discretion, using cash collateral. The benefits, including interest earned, and market risks of ownership accrue to CME. Interest earned is included in investment income on the consolidated statements of income. These debt securities are classified as available-for-sale. At September 30, 2019, the amortized cost and fair value of the U.S. Treasury securities were both $1.4 billion. At September 30, 2019, the amortized cost and fair value of the U.S. government agency securities were both $0.5 billion.</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CME has been designated as a systemically important financial market utility by the Financial Stability Oversight Council and is authorized to establish and maintain a cash account at the Federal Reserve Bank of Chicago. At September 30, 2019, CME maintained $26.0 billion within the cash account at the Federal Reserve Bank of Chicago. The cash deposit at the Federal Reserve Bank of Chicago is included within performance bonds and guaranty fund contributions on the consolidated balance sheets.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Clearing House Contract Settlement. </w:t>
      </w:r>
      <w:r>
        <w:rPr>
          <w:rFonts w:ascii="Arial" w:cs="Arial" w:eastAsia="Arial" w:hAnsi="Arial"/>
          <w:sz w:val="18"/>
          <w:szCs w:val="18"/>
          <w:color w:val="auto"/>
        </w:rPr>
        <w:t>The clearing house marks-to-market open positions for all futures and options contracts twice a day (once a day for</w:t>
      </w:r>
      <w:r>
        <w:rPr>
          <w:rFonts w:ascii="Arial" w:cs="Arial" w:eastAsia="Arial" w:hAnsi="Arial"/>
          <w:sz w:val="18"/>
          <w:szCs w:val="18"/>
          <w:i w:val="1"/>
          <w:iCs w:val="1"/>
          <w:color w:val="auto"/>
        </w:rPr>
        <w:t xml:space="preserve"> </w:t>
      </w:r>
      <w:r>
        <w:rPr>
          <w:rFonts w:ascii="Arial" w:cs="Arial" w:eastAsia="Arial" w:hAnsi="Arial"/>
          <w:sz w:val="18"/>
          <w:szCs w:val="18"/>
          <w:color w:val="auto"/>
        </w:rPr>
        <w:t>CME's cleared-only interest rate swap contracts). Based on values derived from the mark-to-market process, the clearing house requires payments from clearing firms whose positions have lost value and makes payments to clearing firms whose positions have gained value. Under the extremely unlikely scenario of simultaneous default by every clearing firm who has open positions with unrealized losses, the maximum exposure related to positions other than cleared-only interest rate swap contracts would be one half day of changes in fair value of all open positions, before considering the clearing house's ability to access defaulting clearing firms' collateral deposits.</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CME's cleared-only interest rate swap contracts, the maximum exposure related to CME's guarantee would be one full day of changes in fair value of all open positions, before considering CME's ability to access defaulting clearing firms' collateral.</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first nine months of 2019, the clearing house transferred an average of approximately $3.5 billion a day through its clearing systems for settlement from clearing firms whose positions had lost value to clearing firms whose positions had gained value. The clearing house reduces its guarantee exposure through initial and maintenance performance bond requirements and mandatory guaranty fund contributions. The company believes that its guarantee liability is immaterial and therefore has not recorded any liability at September 30, 2019.</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September 30, 2019 and December 31, 2018:</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3"/>
                <w:szCs w:val="13"/>
                <w:color w:val="auto"/>
              </w:rPr>
            </w:pPr>
          </w:p>
        </w:tc>
        <w:tc>
          <w:tcPr>
            <w:tcW w:w="9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5,764.9</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(1,274.0)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4,490.9</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5,862.5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(1,065.6)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4,796.9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Technology-related intellectual property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6,038.0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4,711.2</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6,144.4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5,050.1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 other, net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5,161.2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5,500.1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8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Trading products </w:t>
            </w:r>
            <w:r>
              <w:rPr>
                <w:rFonts w:ascii="Arial" w:cs="Arial" w:eastAsia="Arial" w:hAnsi="Arial"/>
                <w:sz w:val="25"/>
                <w:szCs w:val="25"/>
                <w:color w:val="auto"/>
                <w:vertAlign w:val="superscript"/>
              </w:rPr>
              <w:t>(1)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660" w:right="14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Commodity Futures Trading Commission (CFTC). Product authorizations from the CFTC have no term limits.</w:t>
      </w:r>
    </w:p>
    <w:p>
      <w:pPr>
        <w:spacing w:after="0" w:line="79" w:lineRule="exact"/>
        <w:rPr>
          <w:sz w:val="20"/>
          <w:szCs w:val="20"/>
          <w:color w:val="auto"/>
        </w:rPr>
      </w:pPr>
    </w:p>
    <w:p>
      <w:pPr>
        <w:jc w:val="both"/>
        <w:ind w:right="60"/>
        <w:spacing w:after="0" w:line="305" w:lineRule="auto"/>
        <w:rPr>
          <w:sz w:val="20"/>
          <w:szCs w:val="20"/>
          <w:color w:val="auto"/>
        </w:rPr>
      </w:pPr>
      <w:r>
        <w:rPr>
          <w:rFonts w:ascii="Arial" w:cs="Arial" w:eastAsia="Arial" w:hAnsi="Arial"/>
          <w:sz w:val="16"/>
          <w:szCs w:val="16"/>
          <w:color w:val="auto"/>
        </w:rPr>
        <w:t>Total amortization expense for intangible assets was $79.8 million and $23.7 million for the quarters ended September 30, 2019 and 2018, respectively. Total amortization expense for intangible assets was $236.6 million and $71.0 million for the nine months ended September 30, 2019 and 2018, respectively. In the third quarter of 2019, the company recognized an unrealized loss of $28.6 million related to certain intangible assets related to assets held for sale.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the future estimated amortization expense related to amortizable intangible assets is expected to be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59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Amortization Expense</w:t>
            </w: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5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77.5</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2020</w:t>
            </w:r>
          </w:p>
        </w:tc>
        <w:tc>
          <w:tcPr>
            <w:tcW w:w="592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310.2</w:t>
            </w:r>
          </w:p>
        </w:tc>
      </w:tr>
      <w:tr>
        <w:trPr>
          <w:trHeight w:val="27"/>
        </w:trPr>
        <w:tc>
          <w:tcPr>
            <w:tcW w:w="35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9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310.2</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2022</w:t>
            </w:r>
          </w:p>
        </w:tc>
        <w:tc>
          <w:tcPr>
            <w:tcW w:w="592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309.8</w:t>
            </w:r>
          </w:p>
        </w:tc>
      </w:tr>
      <w:tr>
        <w:trPr>
          <w:trHeight w:val="27"/>
        </w:trPr>
        <w:tc>
          <w:tcPr>
            <w:tcW w:w="35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9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308.5</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2024</w:t>
            </w:r>
          </w:p>
        </w:tc>
        <w:tc>
          <w:tcPr>
            <w:tcW w:w="592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301.8</w:t>
            </w:r>
          </w:p>
        </w:tc>
      </w:tr>
      <w:tr>
        <w:trPr>
          <w:trHeight w:val="27"/>
        </w:trPr>
        <w:tc>
          <w:tcPr>
            <w:tcW w:w="35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59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3,093.2</w:t>
            </w:r>
          </w:p>
        </w:tc>
      </w:tr>
      <w:tr>
        <w:trPr>
          <w:trHeight w:val="729"/>
        </w:trPr>
        <w:tc>
          <w:tcPr>
            <w:tcW w:w="3520" w:type="dxa"/>
            <w:vAlign w:val="bottom"/>
          </w:tcPr>
          <w:p>
            <w:pPr>
              <w:spacing w:after="0"/>
              <w:rPr>
                <w:sz w:val="24"/>
                <w:szCs w:val="24"/>
                <w:color w:val="auto"/>
              </w:rPr>
            </w:pPr>
          </w:p>
        </w:tc>
        <w:tc>
          <w:tcPr>
            <w:tcW w:w="5920" w:type="dxa"/>
            <w:vAlign w:val="bottom"/>
          </w:tcPr>
          <w:p>
            <w:pPr>
              <w:jc w:val="right"/>
              <w:ind w:right="3550"/>
              <w:spacing w:after="0"/>
              <w:rPr>
                <w:sz w:val="20"/>
                <w:szCs w:val="20"/>
                <w:color w:val="auto"/>
              </w:rPr>
            </w:pPr>
            <w:r>
              <w:rPr>
                <w:rFonts w:ascii="Arial" w:cs="Arial" w:eastAsia="Arial" w:hAnsi="Arial"/>
                <w:sz w:val="18"/>
                <w:szCs w:val="18"/>
                <w:color w:val="auto"/>
              </w:rPr>
              <w:t>16</w:t>
            </w:r>
          </w:p>
        </w:tc>
        <w:tc>
          <w:tcPr>
            <w:tcW w:w="1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Goodwill activity consisted of the following at September 30, 2019 and December 31, 2018</w:t>
      </w:r>
      <w:r>
        <w:rPr>
          <w:rFonts w:ascii="Arial" w:cs="Arial" w:eastAsia="Arial" w:hAnsi="Arial"/>
          <w:sz w:val="16"/>
          <w:szCs w:val="16"/>
          <w:color w:val="auto"/>
        </w:rPr>
        <w: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Balance at</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Business</w:t>
            </w: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134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Balance at</w:t>
            </w:r>
          </w:p>
        </w:tc>
      </w:tr>
      <w:tr>
        <w:trPr>
          <w:trHeight w:val="192"/>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December 31, 2018</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Combinations</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9"/>
              </w:rPr>
              <w:t xml:space="preserve">Activity </w:t>
            </w:r>
            <w:r>
              <w:rPr>
                <w:rFonts w:ascii="Arial" w:cs="Arial" w:eastAsia="Arial" w:hAnsi="Arial"/>
                <w:sz w:val="8"/>
                <w:szCs w:val="8"/>
                <w:b w:val="1"/>
                <w:bCs w:val="1"/>
                <w:color w:val="auto"/>
                <w:w w:val="99"/>
              </w:rPr>
              <w:t>(1)</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September 30, 2019</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CBOT Holdings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5,066.4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5,066.4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NYMEX Holdings</w:t>
            </w:r>
          </w:p>
        </w:tc>
        <w:tc>
          <w:tcPr>
            <w:tcW w:w="1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2,462.2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2,462.2</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NEX</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3,236.3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3,205.4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40.4</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10,805.3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10,774.4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33"/>
        </w:trPr>
        <w:tc>
          <w:tcPr>
            <w:tcW w:w="5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4"/>
              </w:rPr>
              <w:t>Balance at</w:t>
            </w:r>
          </w:p>
        </w:tc>
        <w:tc>
          <w:tcPr>
            <w:tcW w:w="220" w:type="dxa"/>
            <w:vAlign w:val="bottom"/>
          </w:tcPr>
          <w:p>
            <w:pPr>
              <w:spacing w:after="0"/>
              <w:rPr>
                <w:sz w:val="11"/>
                <w:szCs w:val="11"/>
                <w:color w:val="auto"/>
              </w:rPr>
            </w:pPr>
          </w:p>
        </w:tc>
        <w:tc>
          <w:tcPr>
            <w:tcW w:w="13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3"/>
              </w:rPr>
              <w:t>Business</w:t>
            </w:r>
          </w:p>
        </w:tc>
        <w:tc>
          <w:tcPr>
            <w:tcW w:w="280" w:type="dxa"/>
            <w:vAlign w:val="bottom"/>
          </w:tcPr>
          <w:p>
            <w:pPr>
              <w:spacing w:after="0"/>
              <w:rPr>
                <w:sz w:val="11"/>
                <w:szCs w:val="11"/>
                <w:color w:val="auto"/>
              </w:rPr>
            </w:pPr>
          </w:p>
        </w:tc>
        <w:tc>
          <w:tcPr>
            <w:tcW w:w="130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134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1"/>
              </w:rPr>
              <w:t>Balance at</w:t>
            </w:r>
          </w:p>
        </w:tc>
      </w:tr>
      <w:tr>
        <w:trPr>
          <w:trHeight w:val="192"/>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December 31, 2017</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Combinations</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4"/>
              </w:rPr>
              <w:t>Activity</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December 31, 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CBOT Holdings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5,066.4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5,066.4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NYMEX Holdings</w:t>
            </w:r>
          </w:p>
        </w:tc>
        <w:tc>
          <w:tcPr>
            <w:tcW w:w="1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2,462.2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2,462.2</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NEX</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3,236.3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3,236.3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40.4</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7,569.0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3,236.3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10,805.3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firstLine="8"/>
        <w:spacing w:after="0" w:line="264"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activity includes measurement period adjustments, including adjustments to intangible assets, fixed assets, other assets and accrued liabilities, as well as goodwill associated with assets sold and held for sale. The company expects to finalize its purchase price allocation of net tangible and intangible assets in the fourth quarter of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March 2019, the company repaid both the €350.0 million fixed rates notes and the ¥19.1 billion term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Short-term debt outstanding consisted of the following at September 30, 2019 and December 31, 2018 (in U.S. dollar equivalent):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€350.0 million fixed rate notes due March 2019, stated rate of 3.13%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400.7</w:t>
            </w:r>
          </w:p>
        </w:tc>
        <w:tc>
          <w:tcPr>
            <w:tcW w:w="0" w:type="dxa"/>
            <w:vAlign w:val="bottom"/>
          </w:tcPr>
          <w:p>
            <w:pPr>
              <w:spacing w:after="0"/>
              <w:rPr>
                <w:sz w:val="1"/>
                <w:szCs w:val="1"/>
                <w:color w:val="auto"/>
              </w:rPr>
            </w:pP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¥19.1 billion term loan due March 2019, stated rate of 0.81%</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short-term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574.2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Long-term debt consisted of the following at September 30, 2019 and December 31, 2018: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September 2022, stated rate of 3.00%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747.5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746.9</w:t>
            </w:r>
          </w:p>
        </w:tc>
        <w:tc>
          <w:tcPr>
            <w:tcW w:w="0" w:type="dxa"/>
            <w:vAlign w:val="bottom"/>
          </w:tcPr>
          <w:p>
            <w:pPr>
              <w:spacing w:after="0"/>
              <w:rPr>
                <w:sz w:val="1"/>
                <w:szCs w:val="1"/>
                <w:color w:val="auto"/>
              </w:rPr>
            </w:pP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€15.0 million fixed rate notes due May 2023, stated rate of 4.30%</w:t>
            </w: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March 2025, stated rate of 3.00% </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746.1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745.6</w:t>
            </w:r>
          </w:p>
        </w:tc>
        <w:tc>
          <w:tcPr>
            <w:tcW w:w="0" w:type="dxa"/>
            <w:vAlign w:val="bottom"/>
          </w:tcPr>
          <w:p>
            <w:pPr>
              <w:spacing w:after="0"/>
              <w:rPr>
                <w:sz w:val="1"/>
                <w:szCs w:val="1"/>
                <w:color w:val="auto"/>
              </w:rPr>
            </w:pP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$500.0 million fixed rate notes due June 2028, stated rate of 3.75%</w:t>
            </w: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496.2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495.9</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September 2043, stated rate of 5.30% </w:t>
            </w:r>
            <w:r>
              <w:rPr>
                <w:rFonts w:ascii="Arial" w:cs="Arial" w:eastAsia="Arial" w:hAnsi="Arial"/>
                <w:sz w:val="25"/>
                <w:szCs w:val="25"/>
                <w:color w:val="auto"/>
                <w:vertAlign w:val="superscript"/>
              </w:rPr>
              <w:t>(3)</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742.7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742.4</w:t>
            </w:r>
          </w:p>
        </w:tc>
        <w:tc>
          <w:tcPr>
            <w:tcW w:w="0" w:type="dxa"/>
            <w:vAlign w:val="bottom"/>
          </w:tcPr>
          <w:p>
            <w:pPr>
              <w:spacing w:after="0"/>
              <w:rPr>
                <w:sz w:val="1"/>
                <w:szCs w:val="1"/>
                <w:color w:val="auto"/>
              </w:rPr>
            </w:pP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$700.0 million fixed rate notes due June 2048, stated rate of 4.15%</w:t>
            </w: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689.8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689.5</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5"/>
                <w:szCs w:val="25"/>
                <w:color w:val="auto"/>
                <w:vertAlign w:val="superscript"/>
              </w:rPr>
              <w:t>(4)</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435.0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37"/>
        </w:trPr>
        <w:tc>
          <w:tcPr>
            <w:tcW w:w="80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3,873.3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3,826.8</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1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maintained a forward-starting interest rate swap agreement that modified the interest obligation associated with these notes so that the interest payable on the notes effectively became fixed at a rate of 3.32%.</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maintained a forward-starting interest rate swap agreement that modified the interest obligation associated with these notes so that the interest payable on the notes effectively became fixed at a rate of 3.11%.</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maintained a forward-starting interest rate swap agreement that modified the interest obligation associated with these notes so that the interest payable on the notes effectively became fixed at a rate of 4.73%.</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commercial paper is backed by the five-year multi-currency revolving credit facility.</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Commercial paper with an aggregate par value of $7.8 billion and maturities ranging from 1 to 18 days was issued during the first nine months of 2019. The weighted average discount rate of commercial paper outstanding at September 30, 2019 was 2.03%. The weighted average balance of commercial paper outstanding during the first nine months of 2019 was $332.9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(in U.S. dollar equivalent), were as follows at September 30,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9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2021</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1,185.0</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2023</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16.4</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2,700.0</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7"/>
          <w:szCs w:val="17"/>
          <w:color w:val="auto"/>
        </w:rPr>
        <w:t>Commercial paper is considered to mature in 2022 because it is backed by the five-year multi-currency revolving credit facility, which expires in 2022.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Contingencies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 xml:space="preserve">Legal and Regulatory Matters. </w:t>
      </w:r>
      <w:r>
        <w:rPr>
          <w:rFonts w:ascii="Arial" w:cs="Arial" w:eastAsia="Arial" w:hAnsi="Arial"/>
          <w:sz w:val="18"/>
          <w:szCs w:val="18"/>
          <w:color w:val="auto"/>
        </w:rPr>
        <w:t>In 2013, the CFTC filed suit against NYMEX and two former employees alleging disclosure of confidential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in violation of the Commodity Exchange Act. NYMEX’s motion to dismiss was denied in 2014. Based on its investigation to date and advice from legal counsel, the company believes that it has strong factual and legal defenses to the claim.</w:t>
      </w:r>
    </w:p>
    <w:p>
      <w:pPr>
        <w:spacing w:after="0" w:line="15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2003, the U.S. Futures Exchange, L.L.C. (Eurex U.S.) and U.S. Exchange Holdings, Inc. filed suit in federal court alleging that CBOT and CME violated the antitrust laws and tortuously interfered with the business relationship and contract between Eurex U.S. and The Clearing Corporation. On October 31, 2018, the Court granted CBOT's and CME's motion for summary judgment and dismissed the case in its entirety. Eurex has appealed this decision.</w:t>
      </w:r>
    </w:p>
    <w:p>
      <w:pPr>
        <w:spacing w:after="0" w:line="9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10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No accrual was required for legal and regulatory matters as none were probable and estimable as of September 30, 2019 and December 31, 2018.</w:t>
      </w:r>
    </w:p>
    <w:p>
      <w:pPr>
        <w:spacing w:after="0" w:line="156"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i w:val="1"/>
          <w:iCs w:val="1"/>
          <w:color w:val="auto"/>
        </w:rPr>
        <w:t>Intellectual Property Indemnifications</w:t>
      </w:r>
      <w:r>
        <w:rPr>
          <w:rFonts w:ascii="Arial" w:cs="Arial" w:eastAsia="Arial" w:hAnsi="Arial"/>
          <w:sz w:val="17"/>
          <w:szCs w:val="17"/>
          <w:color w:val="auto"/>
        </w:rPr>
        <w:t>. Certain agreements with customers and other third parties related to accessing CME Group’s services may contain</w:t>
      </w:r>
      <w:r>
        <w:rPr>
          <w:rFonts w:ascii="Arial" w:cs="Arial" w:eastAsia="Arial" w:hAnsi="Arial"/>
          <w:sz w:val="17"/>
          <w:szCs w:val="17"/>
          <w:i w:val="1"/>
          <w:iCs w:val="1"/>
          <w:color w:val="auto"/>
        </w:rPr>
        <w:t xml:space="preserve"> </w:t>
      </w:r>
      <w:r>
        <w:rPr>
          <w:rFonts w:ascii="Arial" w:cs="Arial" w:eastAsia="Arial" w:hAnsi="Arial"/>
          <w:sz w:val="17"/>
          <w:szCs w:val="17"/>
          <w:color w:val="auto"/>
        </w:rPr>
        <w:t>indemnifications from intellectual property claims that may be made against them as a result of their use of the applicable services. The potential future claims relating to these indemnifications cannot be estimated and therefore no liability has been recorded.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0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adopted the new leasing standard on January 1, 2019, using the modified retrospective approach. The standard requires lessees to recognize on the balance sheet the assets and liabilities associated with the rights and obligations created by those leases. Upon implementation of the standard, the company utilized the package of practical expedients which did not require reassessment of the following: (a) whether any expired or existing contracts are or contain leases, (b) the lease classification for any expired or existing leases, and (c) any initial direct costs for existing leases. In addition, the company has elected not to separately account for lease and non-lease components, resulting in a greater amount of capitalized lease costs on the balance sheet. Upon adoption of the new standard on January 1, 2019, the company recognized a lease liability of $568.0 million and right-of-use asset of $448.2 million.</w:t>
      </w:r>
    </w:p>
    <w:p>
      <w:pPr>
        <w:spacing w:after="0" w:line="11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company has operating leases for datacenters, corporate offices, and certain information technology equipment. The operating leases have remaining lease terms of up to 19 years, some of which include options to extend or renew the leases for up to an additional five years, and some of which include options to early terminate the leases in less than 12 months.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Management evaluates the exercisability of these options at least quarterly in order to determine whether the contract term must be reassessed. For a small number of the leases, primarily the international locations, management's approach is to enter into short-term leases for a lease term of 12 months or less in order to provide for greater flexibility in the local environment. For certain office spaces, the company has entered into arrangements to sublease excess space to third parties, while the original lease contract remains in effect with the landlord.</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also has two finance leases, one of which is related to the sale of our datacenter in March 2016. In connection with the sale, the company leased back a portion of the property. The sale leaseback transaction was recognized under the financing method and not as a sale leaseback arrangement. We have one other finance lease related to networking equipment and connectivity hardware. This lease qualifies for classification as a finance lease due to our exercise of an existing purchase option on this equipment.</w:t>
      </w:r>
    </w:p>
    <w:p>
      <w:pPr>
        <w:spacing w:after="0" w:line="13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right-of-use lease asset is recorded within other assets, and the present value of the lease liability is recorded within other liabilities (segregated between short term and long term) on the consolidated balance sheets. The discount rate applied to the lease payments represents the company's incremental borrowing rate. The company has elected to utilize the short term lease exception for purposes of adopting this standard, such that the company has not capitalized on the balance sheet a lease asset or lease liability associated with leases with terms of 12 months or less from the commencement date.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center"/>
              <w:ind w:right="176"/>
              <w:spacing w:after="0"/>
              <w:rPr>
                <w:sz w:val="20"/>
                <w:szCs w:val="20"/>
                <w:color w:val="auto"/>
              </w:rPr>
            </w:pPr>
            <w:r>
              <w:rPr>
                <w:rFonts w:ascii="Arial" w:cs="Arial" w:eastAsia="Arial" w:hAnsi="Arial"/>
                <w:sz w:val="14"/>
                <w:szCs w:val="14"/>
                <w:b w:val="1"/>
                <w:bCs w:val="1"/>
                <w:color w:val="auto"/>
                <w:w w:val="96"/>
              </w:rPr>
              <w:t>Quarter Ended</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1"/>
              </w:rPr>
              <w:t>September 30, 2019</w:t>
            </w: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September 30, 2019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Operating lease expense:</w:t>
            </w:r>
          </w:p>
        </w:tc>
        <w:tc>
          <w:tcPr>
            <w:tcW w:w="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16.2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53.5</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Short-term lease cost</w:t>
            </w:r>
          </w:p>
        </w:tc>
        <w:tc>
          <w:tcPr>
            <w:tcW w:w="220" w:type="dxa"/>
            <w:vAlign w:val="bottom"/>
          </w:tcPr>
          <w:p>
            <w:pPr>
              <w:spacing w:after="0"/>
              <w:rPr>
                <w:sz w:val="21"/>
                <w:szCs w:val="21"/>
                <w:color w:val="auto"/>
              </w:rPr>
            </w:pPr>
          </w:p>
        </w:tc>
        <w:tc>
          <w:tcPr>
            <w:tcW w:w="1640" w:type="dxa"/>
            <w:vAlign w:val="bottom"/>
          </w:tcPr>
          <w:p>
            <w:pPr>
              <w:jc w:val="right"/>
              <w:ind w:right="56"/>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5.6</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lease expense included in other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16.9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59.1</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30"/>
        </w:trPr>
        <w:tc>
          <w:tcPr>
            <w:tcW w:w="7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expense:</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56"/>
              <w:spacing w:after="0"/>
              <w:rPr>
                <w:sz w:val="20"/>
                <w:szCs w:val="20"/>
                <w:color w:val="auto"/>
              </w:rPr>
            </w:pPr>
            <w:r>
              <w:rPr>
                <w:rFonts w:ascii="Arial" w:cs="Arial" w:eastAsia="Arial" w:hAnsi="Arial"/>
                <w:sz w:val="18"/>
                <w:szCs w:val="18"/>
                <w:color w:val="auto"/>
              </w:rPr>
              <w:t>0.9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2.7</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expense</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w:t>
            </w:r>
          </w:p>
        </w:tc>
      </w:tr>
      <w:tr>
        <w:trPr>
          <w:trHeight w:val="29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finance lease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3.4</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9.8</w:t>
            </w:r>
          </w:p>
        </w:tc>
      </w:tr>
      <w:tr>
        <w:trPr>
          <w:trHeight w:val="311"/>
        </w:trPr>
        <w:tc>
          <w:tcPr>
            <w:tcW w:w="7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Sublease revenue included in other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56"/>
              <w:spacing w:after="0"/>
              <w:rPr>
                <w:sz w:val="20"/>
                <w:szCs w:val="20"/>
                <w:color w:val="auto"/>
              </w:rPr>
            </w:pPr>
            <w:r>
              <w:rPr>
                <w:rFonts w:ascii="Arial" w:cs="Arial" w:eastAsia="Arial" w:hAnsi="Arial"/>
                <w:sz w:val="18"/>
                <w:szCs w:val="18"/>
                <w:color w:val="auto"/>
              </w:rPr>
              <w:t>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7.3</w:t>
            </w:r>
          </w:p>
        </w:tc>
      </w:tr>
      <w:tr>
        <w:trPr>
          <w:trHeight w:val="702"/>
        </w:trPr>
        <w:tc>
          <w:tcPr>
            <w:tcW w:w="766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88"/>
        </w:trPr>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jc w:val="center"/>
              <w:ind w:right="176"/>
              <w:spacing w:after="0"/>
              <w:rPr>
                <w:sz w:val="20"/>
                <w:szCs w:val="20"/>
                <w:color w:val="auto"/>
              </w:rPr>
            </w:pPr>
            <w:r>
              <w:rPr>
                <w:rFonts w:ascii="Arial" w:cs="Arial" w:eastAsia="Arial" w:hAnsi="Arial"/>
                <w:sz w:val="14"/>
                <w:szCs w:val="14"/>
                <w:b w:val="1"/>
                <w:bCs w:val="1"/>
                <w:color w:val="auto"/>
                <w:w w:val="96"/>
              </w:rPr>
              <w:t>Quarter Ended</w:t>
            </w:r>
          </w:p>
        </w:tc>
        <w:tc>
          <w:tcPr>
            <w:tcW w:w="280" w:type="dxa"/>
            <w:vAlign w:val="bottom"/>
          </w:tcPr>
          <w:p>
            <w:pPr>
              <w:spacing w:after="0"/>
              <w:rPr>
                <w:sz w:val="24"/>
                <w:szCs w:val="24"/>
                <w:color w:val="auto"/>
              </w:rPr>
            </w:pP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1"/>
              </w:rPr>
              <w:t>September 30, 2019</w:t>
            </w: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September 30, 2019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Cash outflows for operating leases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56"/>
              <w:spacing w:after="0"/>
              <w:rPr>
                <w:sz w:val="20"/>
                <w:szCs w:val="20"/>
                <w:color w:val="auto"/>
              </w:rPr>
            </w:pPr>
            <w:r>
              <w:rPr>
                <w:rFonts w:ascii="Arial" w:cs="Arial" w:eastAsia="Arial" w:hAnsi="Arial"/>
                <w:sz w:val="18"/>
                <w:szCs w:val="18"/>
                <w:color w:val="auto"/>
              </w:rPr>
              <w:t>18.7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50.8</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outflows for finance leases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5.1</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w:t>
            </w:r>
          </w:p>
        </w:tc>
      </w:tr>
      <w:tr>
        <w:trPr>
          <w:trHeight w:val="648"/>
        </w:trPr>
        <w:tc>
          <w:tcPr>
            <w:tcW w:w="7660" w:type="dxa"/>
            <w:vAlign w:val="bottom"/>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32"/>
        </w:trPr>
        <w:tc>
          <w:tcPr>
            <w:tcW w:w="7660" w:type="dxa"/>
            <w:vAlign w:val="bottom"/>
          </w:tcPr>
          <w:p>
            <w:pPr>
              <w:spacing w:after="0"/>
              <w:rPr>
                <w:sz w:val="20"/>
                <w:szCs w:val="20"/>
                <w:color w:val="auto"/>
              </w:rPr>
            </w:pPr>
            <w:r>
              <w:rPr>
                <w:rFonts w:ascii="Arial" w:cs="Arial" w:eastAsia="Arial" w:hAnsi="Arial"/>
                <w:sz w:val="18"/>
                <w:szCs w:val="18"/>
                <w:b w:val="1"/>
                <w:bCs w:val="1"/>
                <w:i w:val="1"/>
                <w:iCs w:val="1"/>
                <w:color w:val="auto"/>
              </w:rPr>
              <w:t>Operating leases</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32"/>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4"/>
              </w:rPr>
              <w:t>September 30, 2019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94"/>
              <w:spacing w:after="0"/>
              <w:rPr>
                <w:sz w:val="20"/>
                <w:szCs w:val="20"/>
                <w:color w:val="auto"/>
              </w:rPr>
            </w:pPr>
            <w:r>
              <w:rPr>
                <w:rFonts w:ascii="Arial" w:cs="Arial" w:eastAsia="Arial" w:hAnsi="Arial"/>
                <w:sz w:val="18"/>
                <w:szCs w:val="18"/>
                <w:color w:val="auto"/>
              </w:rPr>
              <w:t>420.3</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324"/>
        </w:trPr>
        <w:tc>
          <w:tcPr>
            <w:tcW w:w="7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40.9</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94"/>
              <w:spacing w:after="0"/>
              <w:rPr>
                <w:sz w:val="20"/>
                <w:szCs w:val="20"/>
                <w:color w:val="auto"/>
              </w:rPr>
            </w:pPr>
            <w:r>
              <w:rPr>
                <w:rFonts w:ascii="Arial" w:cs="Arial" w:eastAsia="Arial" w:hAnsi="Arial"/>
                <w:sz w:val="18"/>
                <w:szCs w:val="18"/>
                <w:color w:val="auto"/>
              </w:rPr>
              <w:t>509.4</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550.3</w:t>
            </w:r>
          </w:p>
        </w:tc>
      </w:tr>
      <w:tr>
        <w:trPr>
          <w:trHeight w:val="20"/>
        </w:trPr>
        <w:tc>
          <w:tcPr>
            <w:tcW w:w="7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311"/>
        </w:trPr>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(in months)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September 30, 2019</w:t>
            </w:r>
          </w:p>
        </w:tc>
      </w:tr>
      <w:tr>
        <w:trPr>
          <w:trHeight w:val="250"/>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right-of-use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100.0</w:t>
            </w:r>
          </w:p>
        </w:tc>
      </w:tr>
      <w:tr>
        <w:trPr>
          <w:trHeight w:val="324"/>
        </w:trPr>
        <w:tc>
          <w:tcPr>
            <w:tcW w:w="9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0"/>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952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94"/>
              <w:spacing w:after="0"/>
              <w:rPr>
                <w:sz w:val="20"/>
                <w:szCs w:val="20"/>
                <w:color w:val="auto"/>
              </w:rPr>
            </w:pPr>
            <w:r>
              <w:rPr>
                <w:rFonts w:ascii="Arial" w:cs="Arial" w:eastAsia="Arial" w:hAnsi="Arial"/>
                <w:sz w:val="18"/>
                <w:szCs w:val="18"/>
                <w:color w:val="auto"/>
              </w:rPr>
              <w:t>8.0</w:t>
            </w:r>
          </w:p>
        </w:tc>
      </w:tr>
      <w:tr>
        <w:trPr>
          <w:trHeight w:val="27"/>
        </w:trPr>
        <w:tc>
          <w:tcPr>
            <w:tcW w:w="9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9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93.4</w:t>
            </w:r>
          </w:p>
        </w:tc>
      </w:tr>
      <w:tr>
        <w:trPr>
          <w:trHeight w:val="297"/>
        </w:trPr>
        <w:tc>
          <w:tcPr>
            <w:tcW w:w="9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finance lease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101.4</w:t>
            </w:r>
          </w:p>
        </w:tc>
      </w:tr>
      <w:tr>
        <w:trPr>
          <w:trHeight w:val="311"/>
        </w:trPr>
        <w:tc>
          <w:tcPr>
            <w:tcW w:w="9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Weighted average remaining lease term (in months)</w:t>
            </w:r>
          </w:p>
        </w:tc>
        <w:tc>
          <w:tcPr>
            <w:tcW w:w="180" w:type="dxa"/>
            <w:vAlign w:val="bottom"/>
          </w:tcPr>
          <w:p>
            <w:pPr>
              <w:spacing w:after="0"/>
              <w:rPr>
                <w:sz w:val="21"/>
                <w:szCs w:val="21"/>
                <w:color w:val="auto"/>
              </w:rPr>
            </w:pPr>
          </w:p>
        </w:tc>
        <w:tc>
          <w:tcPr>
            <w:tcW w:w="1720" w:type="dxa"/>
            <w:vAlign w:val="bottom"/>
          </w:tcPr>
          <w:p>
            <w:pPr>
              <w:jc w:val="right"/>
              <w:ind w:right="94"/>
              <w:spacing w:after="0"/>
              <w:rPr>
                <w:sz w:val="20"/>
                <w:szCs w:val="20"/>
                <w:color w:val="auto"/>
              </w:rPr>
            </w:pPr>
            <w:r>
              <w:rPr>
                <w:rFonts w:ascii="Arial" w:cs="Arial" w:eastAsia="Arial" w:hAnsi="Arial"/>
                <w:sz w:val="18"/>
                <w:szCs w:val="18"/>
                <w:color w:val="auto"/>
              </w:rPr>
              <w:t>138</w:t>
            </w:r>
          </w:p>
        </w:tc>
      </w:tr>
      <w:tr>
        <w:trPr>
          <w:trHeight w:val="27"/>
        </w:trPr>
        <w:tc>
          <w:tcPr>
            <w:tcW w:w="9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discount rate</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648"/>
        </w:trPr>
        <w:tc>
          <w:tcPr>
            <w:tcW w:w="9520" w:type="dxa"/>
            <w:vAlign w:val="bottom"/>
          </w:tcPr>
          <w:p>
            <w:pPr>
              <w:spacing w:after="0"/>
              <w:rPr>
                <w:sz w:val="20"/>
                <w:szCs w:val="20"/>
                <w:color w:val="auto"/>
              </w:rPr>
            </w:pPr>
            <w:r>
              <w:rPr>
                <w:rFonts w:ascii="Arial" w:cs="Arial" w:eastAsia="Arial" w:hAnsi="Arial"/>
                <w:sz w:val="18"/>
                <w:szCs w:val="18"/>
                <w:color w:val="auto"/>
              </w:rPr>
              <w:t>Future minimum lease payments were as follows as of September 30, 2019 for operating and finance leases:</w:t>
            </w: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42"/>
        </w:trPr>
        <w:tc>
          <w:tcPr>
            <w:tcW w:w="95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24"/>
                <w:szCs w:val="24"/>
                <w:color w:val="auto"/>
              </w:rPr>
            </w:pPr>
          </w:p>
        </w:tc>
        <w:tc>
          <w:tcPr>
            <w:tcW w:w="1720" w:type="dxa"/>
            <w:vAlign w:val="bottom"/>
          </w:tcPr>
          <w:p>
            <w:pPr>
              <w:jc w:val="right"/>
              <w:ind w:right="514"/>
              <w:spacing w:after="0"/>
              <w:rPr>
                <w:sz w:val="20"/>
                <w:szCs w:val="20"/>
                <w:color w:val="auto"/>
              </w:rPr>
            </w:pPr>
            <w:r>
              <w:rPr>
                <w:rFonts w:ascii="Arial" w:cs="Arial" w:eastAsia="Arial" w:hAnsi="Arial"/>
                <w:sz w:val="14"/>
                <w:szCs w:val="14"/>
                <w:b w:val="1"/>
                <w:bCs w:val="1"/>
                <w:color w:val="auto"/>
                <w:w w:val="93"/>
              </w:rPr>
              <w:t>Operating Leases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Remainder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1233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123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123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2024</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1233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lease payments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1233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Present value of lease liability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20955</wp:posOffset>
            </wp:positionV>
            <wp:extent cx="7212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Remainder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2020</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2022</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2024</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lease payments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Less: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Present value of lease liability</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15.9</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63.3</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59.8</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62.8</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58.9</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53.3</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397.0</w:t>
      </w:r>
    </w:p>
    <w:p>
      <w:pPr>
        <w:spacing w:after="0" w:line="77"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711.0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(160.7)</w:t>
      </w:r>
    </w:p>
    <w:p>
      <w:pPr>
        <w:spacing w:after="0" w:line="77"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48895</wp:posOffset>
            </wp:positionV>
            <wp:extent cx="13633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Finance Leases</w:t>
      </w:r>
    </w:p>
    <w:p>
      <w:pPr>
        <w:spacing w:after="0" w:line="63" w:lineRule="exact"/>
        <w:rPr>
          <w:sz w:val="20"/>
          <w:szCs w:val="20"/>
          <w:color w:val="auto"/>
        </w:rPr>
      </w:pPr>
    </w:p>
    <w:p>
      <w:pPr>
        <w:ind w:left="40"/>
        <w:spacing w:after="0"/>
        <w:tabs>
          <w:tab w:leader="none" w:pos="1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4.9</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16.9</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17.0</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17.1</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17.2</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17.4</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111.8</w:t>
      </w:r>
    </w:p>
    <w:p>
      <w:pPr>
        <w:spacing w:after="0" w:line="77"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202.3</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(100.9)</w:t>
      </w:r>
    </w:p>
    <w:p>
      <w:pPr>
        <w:spacing w:after="0" w:line="77"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48895</wp:posOffset>
            </wp:positionV>
            <wp:extent cx="13633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20" w:space="720"/>
            <w:col w:w="2180"/>
          </w:cols>
          <w:pgMar w:left="240" w:top="125" w:right="23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Guarantees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 xml:space="preserve">Mutual Offset Agreement. </w:t>
      </w:r>
      <w:r>
        <w:rPr>
          <w:rFonts w:ascii="Arial" w:cs="Arial" w:eastAsia="Arial" w:hAnsi="Arial"/>
          <w:sz w:val="17"/>
          <w:szCs w:val="17"/>
          <w:color w:val="auto"/>
        </w:rPr>
        <w:t>CME and Singapore Exchange Limited (SGX) have a mutual offset agreement with a current term through October 2020.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enables market participants to open a futures position on one exchange and liquidate it on the other. The term of the agreement will automatically renew for a one-year period unless either party provides advance notice of their intent to terminate. CME can maintain collateral in the form of cash, U.S. Treasury securities or irrevocable, standby letters of credit. At September 30, 2019, CME was contingently liable to SGX on letters of credit totaling $310.0 million. Regardless of the collateral, CME guarantees all cleared transactions submitted through SGX and would initiate procedures designed to satisfy these financial obligations in the event of a default, such as the use of performance bonds and</w:t>
      </w:r>
    </w:p>
    <w:p>
      <w:pPr>
        <w:sectPr>
          <w:pgSz w:w="11900" w:h="16838" w:orient="portrait"/>
          <w:cols w:equalWidth="0" w:num="1">
            <w:col w:w="11420"/>
          </w:cols>
          <w:pgMar w:left="240" w:top="125" w:right="239" w:bottom="1440" w:gutter="0" w:footer="0" w:header="0"/>
          <w:type w:val="continuous"/>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guaranty fund contributions of the defaulting clearing firm. The company believes that its guarantee liability is immaterial and therefore has not recorded any liability at September 30, 2019.</w:t>
      </w:r>
    </w:p>
    <w:p>
      <w:pPr>
        <w:spacing w:after="0" w:line="17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i w:val="1"/>
          <w:iCs w:val="1"/>
          <w:color w:val="auto"/>
        </w:rPr>
        <w:t xml:space="preserve">Family Farmer and Rancher Protection Fund. </w:t>
      </w:r>
      <w:r>
        <w:rPr>
          <w:rFonts w:ascii="Arial" w:cs="Arial" w:eastAsia="Arial" w:hAnsi="Arial"/>
          <w:sz w:val="17"/>
          <w:szCs w:val="17"/>
          <w:color w:val="auto"/>
        </w:rPr>
        <w:t>In 2012, the company established the Family Farmer and Rancher Protection Fund (the Fund). The Fund is</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provide payments, up to certain maximum levels, to family farmers, ranchers and other agricultural industry participants who use the company's agricultural commodity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was established with a maximum of $100.0 million available for distribution to participants. Since its establishment, the Fund has made payments of approximately $2.0 million, which leaves $98.0 million available for future claims. If, at any time, payments due to participants were to exceed the amount remaining in the fund, payments would be pro-rated. Clearing members and customers must register with the company in advance and provide certain documentation in order to substantiate their eligibility. The company believes that its guarantee liability is immaterial and therefore has not recorded any liability at September 30,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Income (Loss)</w:t>
      </w:r>
    </w:p>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(loss), including current period other comprehensive income (loss) and reclassifications out of accumulated other comprehensive income (loss):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reclassifications and income tax benefit (expense)</w:t>
            </w:r>
          </w:p>
        </w:tc>
        <w:tc>
          <w:tcPr>
            <w:tcW w:w="5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5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current period other comprehensive income (loss)</w:t>
            </w:r>
          </w:p>
        </w:tc>
        <w:tc>
          <w:tcPr>
            <w:tcW w:w="5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September 30, 2019</w:t>
            </w:r>
          </w:p>
        </w:tc>
        <w:tc>
          <w:tcPr>
            <w:tcW w:w="5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tcPr>
          <w:p>
            <w:pPr>
              <w:spacing w:after="0"/>
              <w:rPr>
                <w:sz w:val="24"/>
                <w:szCs w:val="2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reclassifications and income tax benefit (expense)</w:t>
            </w: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5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5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current period other comprehensive income (loss)</w:t>
            </w: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w w:val="95"/>
              </w:rPr>
              <w:t>Impact of adoption of standards update on tax effects</w:t>
            </w: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w w:val="97"/>
              </w:rPr>
              <w:t>related to accumulated other comprehensive income</w:t>
            </w:r>
          </w:p>
        </w:tc>
        <w:tc>
          <w:tcPr>
            <w:tcW w:w="5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225" w:lineRule="exact"/>
        <w:rPr>
          <w:sz w:val="20"/>
          <w:szCs w:val="20"/>
          <w:color w:val="auto"/>
        </w:rPr>
      </w:pPr>
    </w:p>
    <w:p>
      <w:pPr>
        <w:ind w:left="660" w:right="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inputs consist of observable market data, such as quoted prices for similar assets and liabilities in active markets, or inputs other than quoted prices that are directly observable.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21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Level 1 assets generally include investments in publicly traded mutual funds, equity securities and corporate debt securities with quoted market prices. In general, the company uses quoted prices in active markets for identical assets to determine the fair value of marketable securities.</w:t>
      </w:r>
    </w:p>
    <w:p>
      <w:pPr>
        <w:spacing w:after="0" w:line="1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Level 2 assets and liabilities generally consist of asset-backed securities, derivatives and long-term debt notes. Asset-backed securities were measured at fair value based on matrix pricing using prices of similar securities with similar inputs such as maturity dates, interest rates and credit ratings. The derivative contracts were measured at fair value using standard valuation models with market-based observable inputs. The fair values of the long-term debt notes were based on quoted market prices in an inactive market.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Level 3 assets include fixed assets, assets held for sale and investments that were impaired.</w:t>
      </w:r>
    </w:p>
    <w:p>
      <w:pPr>
        <w:spacing w:after="0" w:line="19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Recurring Fair Value Measurements. </w:t>
      </w:r>
      <w:r>
        <w:rPr>
          <w:rFonts w:ascii="Arial" w:cs="Arial" w:eastAsia="Arial" w:hAnsi="Arial"/>
          <w:sz w:val="18"/>
          <w:szCs w:val="18"/>
          <w:color w:val="auto"/>
        </w:rPr>
        <w:t>Financial assets and liabilities recorded in the consolidated balance sheet as of September 30, 2019 were classified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their entirety based on the lowest level of input that was significant to each asset and liability's fair value measurement. The following table presents financial instruments measured at fair value on a recurring basis: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September 30, 2019</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61.4</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80.1</w:t>
            </w:r>
          </w:p>
        </w:tc>
      </w:tr>
      <w:tr>
        <w:trPr>
          <w:trHeight w:val="270"/>
        </w:trPr>
        <w:tc>
          <w:tcPr>
            <w:tcW w:w="51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Performance bonds and guaranty fund contributions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51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1,396.2</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U.S. government agency securities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484.7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484.7</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1,960.7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1,961.0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5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Derivative contracts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right="280" w:firstLine="8"/>
        <w:spacing w:after="0" w:line="277"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Performance bonds and guaranty fund contributions on the consolidated balance sheet at September 30, 2019 include U.S. Treasury securities and U.S. government agency securities purchased with cash collateral.</w:t>
      </w:r>
    </w:p>
    <w:p>
      <w:pPr>
        <w:spacing w:after="0" w:line="1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is a reconciliation of the level 3 liability valued at fair value on a recurring basis during the first nine months of 2019. As of September 30, 2019, the remaining contingent consideration liability has expired.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8"/>
              </w:rPr>
              <w:t>Contingent Consideration</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December 31,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r>
      <w:tr>
        <w:trPr>
          <w:trHeight w:val="243"/>
        </w:trPr>
        <w:tc>
          <w:tcPr>
            <w:tcW w:w="9140" w:type="dxa"/>
            <w:vAlign w:val="bottom"/>
          </w:tcPr>
          <w:p>
            <w:pPr>
              <w:ind w:left="280"/>
              <w:spacing w:after="0"/>
              <w:rPr>
                <w:sz w:val="20"/>
                <w:szCs w:val="20"/>
                <w:color w:val="auto"/>
              </w:rPr>
            </w:pPr>
            <w:r>
              <w:rPr>
                <w:rFonts w:ascii="Arial" w:cs="Arial" w:eastAsia="Arial" w:hAnsi="Arial"/>
                <w:sz w:val="18"/>
                <w:szCs w:val="18"/>
                <w:color w:val="auto"/>
              </w:rPr>
              <w:t>Unrealized gains (losses) included in operating expense</w:t>
            </w:r>
          </w:p>
        </w:tc>
        <w:tc>
          <w:tcPr>
            <w:tcW w:w="2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 measurement period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914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2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9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September 30, 2019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0"/>
        </w:trPr>
        <w:tc>
          <w:tcPr>
            <w:tcW w:w="9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Non-Recurring Fair Value Measurements. </w:t>
      </w:r>
      <w:r>
        <w:rPr>
          <w:rFonts w:ascii="Arial" w:cs="Arial" w:eastAsia="Arial" w:hAnsi="Arial"/>
          <w:sz w:val="17"/>
          <w:szCs w:val="17"/>
          <w:color w:val="auto"/>
        </w:rPr>
        <w:t>During the first nine months of 2019, the company recognized impairment charges of $19.2 million related to some</w:t>
      </w:r>
      <w:r>
        <w:rPr>
          <w:rFonts w:ascii="Arial" w:cs="Arial" w:eastAsia="Arial" w:hAnsi="Arial"/>
          <w:sz w:val="17"/>
          <w:szCs w:val="17"/>
          <w:i w:val="1"/>
          <w:iCs w:val="1"/>
          <w:color w:val="auto"/>
        </w:rPr>
        <w:t xml:space="preserve"> </w:t>
      </w:r>
      <w:r>
        <w:rPr>
          <w:rFonts w:ascii="Arial" w:cs="Arial" w:eastAsia="Arial" w:hAnsi="Arial"/>
          <w:sz w:val="17"/>
          <w:szCs w:val="17"/>
          <w:color w:val="auto"/>
        </w:rPr>
        <w:t>of its investments. The combined fair values of these investments were estimated to be $28.5 million at September 30, 2019. The company also recognized unrealized losses of $61.1 million related to assets held for sale and $18.7 million related to certain fixed assets. The fair value of the fixed assets was estimated to be zero at the impairment date. The fair value of the net assets held for sale were estimated to be $3.6 million and $7.7 million at the respective assessment dates. These assessments were based on quantitative and qualitative indications of impairment. The fair value measurements of the investments, fixed assets and assets held for sale are considered level 3 and non-recurring.</w:t>
      </w:r>
    </w:p>
    <w:p>
      <w:pPr>
        <w:sectPr>
          <w:pgSz w:w="11900" w:h="16838" w:orient="portrait"/>
          <w:cols w:equalWidth="0" w:num="1">
            <w:col w:w="11420"/>
          </w:cols>
          <w:pgMar w:left="240" w:top="125" w:right="239"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Fair Values of Long-Term Debt Notes. </w:t>
      </w:r>
      <w:r>
        <w:rPr>
          <w:rFonts w:ascii="Arial" w:cs="Arial" w:eastAsia="Arial" w:hAnsi="Arial"/>
          <w:sz w:val="18"/>
          <w:szCs w:val="18"/>
          <w:color w:val="auto"/>
        </w:rPr>
        <w:t>The following presents the estimated fair values of long-term debt notes, which are carried at amortized cost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sheets. The fair values below that are classified as level 2 under the fair value hierarchy were estimated using quoted market prices in inactive markets. The fair value of the debt facility that was classified as level 3 under the fair value hierarchy was estimated based on assumptions made by management regarding expectations of future settlement of the debt.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2019, the fair values (in U.S. dollar equivalent)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8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Fair Value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September 2022</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773.9</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€15.0 million fixed rate notes due May 2023</w:t>
            </w:r>
          </w:p>
        </w:tc>
        <w:tc>
          <w:tcPr>
            <w:tcW w:w="2800" w:type="dxa"/>
            <w:vAlign w:val="bottom"/>
          </w:tcPr>
          <w:p>
            <w:pPr>
              <w:spacing w:after="0"/>
              <w:rPr>
                <w:sz w:val="21"/>
                <w:szCs w:val="21"/>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18.6</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Level 2</w:t>
            </w:r>
          </w:p>
        </w:tc>
      </w:tr>
      <w:tr>
        <w:trPr>
          <w:trHeight w:val="27"/>
        </w:trPr>
        <w:tc>
          <w:tcPr>
            <w:tcW w:w="64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March 2025</w:t>
            </w:r>
          </w:p>
        </w:tc>
        <w:tc>
          <w:tcPr>
            <w:tcW w:w="28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783.6</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$500.0 million fixed rate notes due June 2028</w:t>
            </w:r>
          </w:p>
        </w:tc>
        <w:tc>
          <w:tcPr>
            <w:tcW w:w="2800" w:type="dxa"/>
            <w:vAlign w:val="bottom"/>
          </w:tcPr>
          <w:p>
            <w:pPr>
              <w:spacing w:after="0"/>
              <w:rPr>
                <w:sz w:val="21"/>
                <w:szCs w:val="21"/>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558.9</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Level 2</w:t>
            </w:r>
          </w:p>
        </w:tc>
      </w:tr>
      <w:tr>
        <w:trPr>
          <w:trHeight w:val="27"/>
        </w:trPr>
        <w:tc>
          <w:tcPr>
            <w:tcW w:w="64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September 2043</w:t>
            </w:r>
          </w:p>
        </w:tc>
        <w:tc>
          <w:tcPr>
            <w:tcW w:w="28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1,014.9</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$700.0 million fixed rate notes due June 2048</w:t>
            </w:r>
          </w:p>
        </w:tc>
        <w:tc>
          <w:tcPr>
            <w:tcW w:w="2800" w:type="dxa"/>
            <w:vAlign w:val="bottom"/>
          </w:tcPr>
          <w:p>
            <w:pPr>
              <w:spacing w:after="0"/>
              <w:rPr>
                <w:sz w:val="21"/>
                <w:szCs w:val="21"/>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840.9</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Level 2</w:t>
            </w:r>
          </w:p>
        </w:tc>
      </w:tr>
      <w:tr>
        <w:trPr>
          <w:trHeight w:val="27"/>
        </w:trPr>
        <w:tc>
          <w:tcPr>
            <w:tcW w:w="64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8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435.0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3</w:t>
            </w:r>
          </w:p>
        </w:tc>
      </w:tr>
      <w:tr>
        <w:trPr>
          <w:trHeight w:val="27"/>
        </w:trPr>
        <w:tc>
          <w:tcPr>
            <w:tcW w:w="642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Basic earnings per share is computed by dividing net income by the weighted average number of shares of all classes of CME Group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restricted stock and performance share awards were as follows for the periods presented: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center"/>
              <w:ind w:right="194"/>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6"/>
        </w:trPr>
        <w:tc>
          <w:tcPr>
            <w:tcW w:w="6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center"/>
              <w:ind w:left="378"/>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5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652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5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ind w:right="33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33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ind w:right="334"/>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14"/>
        </w:trPr>
        <w:tc>
          <w:tcPr>
            <w:tcW w:w="652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and performance shares</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w w:val="91"/>
              </w:rPr>
              <w:t>The following table presents the earnings per share calculation for the periods presented:</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gridSpan w:val="4"/>
          </w:tcPr>
          <w:p>
            <w:pPr>
              <w:jc w:val="center"/>
              <w:ind w:right="194"/>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CME Group (in millions)</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636.3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1,647.0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1,576.7</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 (in thousands):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357,211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9"/>
              </w:rPr>
              <w:t>339,586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357,054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2"/>
              </w:rPr>
              <w:t>339,453</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Effect of stock options, restricted stock and performance shares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1,158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358,369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9"/>
              </w:rPr>
              <w:t>341,035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358,201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2"/>
              </w:rPr>
              <w:t>340,907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The company has determined that there were no subsequent events.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following discussion is provided as a supplement to, and should be read in conjunction with, the accompanying unaudited consolidated financial statements and notes in this Quarterly Report on Form 10-Q and our Annual Report on Form 10-K for the year ended December 31, 2018.</w:t>
      </w:r>
    </w:p>
    <w:p>
      <w:pPr>
        <w:spacing w:after="0" w:line="9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On November 2, 2018, we completed our acquisition of NEX Group plc (NEX). The following Management's Discussion and Analysis of Financial Condition and Results of Operations includes the financial results of NEX beginning on November 3, 2018.</w:t>
      </w:r>
    </w:p>
    <w:p>
      <w:pPr>
        <w:spacing w:after="0" w:line="11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References in this discussion and analysis to “we” and “our” are to CME Group Inc. (CME Group) and its consolidated subsidiaries, collectively. References to “exchange” are to Chicago Mercantile Exchange Inc. (CME), the Board of Trade of the City of Chicago, Inc. (CBOT), New York Mercantile Exchange, Inc. (NYMEX), and Commodity Exchange, Inc. (COMEX), collectively, unless otherwise noted.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Pr>
          <w:p>
            <w:pPr>
              <w:spacing w:after="0"/>
              <w:rPr>
                <w:sz w:val="14"/>
                <w:szCs w:val="14"/>
                <w:color w:val="auto"/>
              </w:rPr>
            </w:pPr>
          </w:p>
        </w:tc>
      </w:tr>
      <w:tr>
        <w:trPr>
          <w:trHeight w:val="192"/>
        </w:trPr>
        <w:tc>
          <w:tcPr>
            <w:tcW w:w="3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data)</w:t>
            </w:r>
          </w:p>
        </w:tc>
        <w:tc>
          <w:tcPr>
            <w:tcW w:w="1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89"/>
              </w:rPr>
              <w:t>2018</w:t>
            </w:r>
          </w:p>
        </w:tc>
        <w:tc>
          <w:tcPr>
            <w:tcW w:w="13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1,277.3</w:t>
            </w: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904.2</w:t>
            </w:r>
          </w:p>
        </w:tc>
        <w:tc>
          <w:tcPr>
            <w:tcW w:w="14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41%</w:t>
            </w:r>
          </w:p>
        </w:tc>
        <w:tc>
          <w:tcPr>
            <w:tcW w:w="3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3,729.6</w:t>
            </w:r>
          </w:p>
        </w:tc>
        <w:tc>
          <w:tcPr>
            <w:tcW w:w="48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89"/>
              </w:rPr>
              <w:t>3,072.8</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216"/>
              <w:spacing w:after="0"/>
              <w:rPr>
                <w:sz w:val="20"/>
                <w:szCs w:val="20"/>
                <w:color w:val="auto"/>
              </w:rPr>
            </w:pPr>
            <w:r>
              <w:rPr>
                <w:rFonts w:ascii="Arial" w:cs="Arial" w:eastAsia="Arial" w:hAnsi="Arial"/>
                <w:sz w:val="18"/>
                <w:szCs w:val="18"/>
                <w:color w:val="auto"/>
              </w:rPr>
              <w:t>592.1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354.3</w:t>
            </w:r>
          </w:p>
        </w:tc>
        <w:tc>
          <w:tcPr>
            <w:tcW w:w="1400" w:type="dxa"/>
            <w:vAlign w:val="bottom"/>
            <w:gridSpan w:val="2"/>
          </w:tcPr>
          <w:p>
            <w:pPr>
              <w:ind w:left="92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6"/>
              <w:spacing w:after="0"/>
              <w:rPr>
                <w:sz w:val="20"/>
                <w:szCs w:val="20"/>
                <w:color w:val="auto"/>
              </w:rPr>
            </w:pPr>
            <w:r>
              <w:rPr>
                <w:rFonts w:ascii="Arial" w:cs="Arial" w:eastAsia="Arial" w:hAnsi="Arial"/>
                <w:sz w:val="18"/>
                <w:szCs w:val="18"/>
                <w:color w:val="auto"/>
              </w:rPr>
              <w:t>1,714.8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w w:val="89"/>
              </w:rPr>
              <w:t>1,115.1</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54</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940" w:type="dxa"/>
            <w:vAlign w:val="bottom"/>
          </w:tcPr>
          <w:p>
            <w:pPr>
              <w:jc w:val="right"/>
              <w:ind w:right="216"/>
              <w:spacing w:after="0"/>
              <w:rPr>
                <w:sz w:val="20"/>
                <w:szCs w:val="20"/>
                <w:color w:val="auto"/>
              </w:rPr>
            </w:pPr>
            <w:r>
              <w:rPr>
                <w:rFonts w:ascii="Arial" w:cs="Arial" w:eastAsia="Arial" w:hAnsi="Arial"/>
                <w:sz w:val="18"/>
                <w:szCs w:val="18"/>
                <w:color w:val="auto"/>
              </w:rPr>
              <w:t>38.0</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21"/>
                <w:szCs w:val="21"/>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21"/>
                <w:szCs w:val="21"/>
                <w:color w:val="auto"/>
              </w:rPr>
            </w:pPr>
          </w:p>
        </w:tc>
        <w:tc>
          <w:tcPr>
            <w:tcW w:w="1340" w:type="dxa"/>
            <w:vAlign w:val="bottom"/>
          </w:tcPr>
          <w:p>
            <w:pPr>
              <w:jc w:val="right"/>
              <w:ind w:right="219"/>
              <w:spacing w:after="0"/>
              <w:rPr>
                <w:sz w:val="20"/>
                <w:szCs w:val="20"/>
                <w:color w:val="auto"/>
              </w:rPr>
            </w:pPr>
            <w:r>
              <w:rPr>
                <w:rFonts w:ascii="Arial" w:cs="Arial" w:eastAsia="Arial" w:hAnsi="Arial"/>
                <w:sz w:val="18"/>
                <w:szCs w:val="18"/>
                <w:color w:val="auto"/>
              </w:rPr>
              <w:t>n.m.</w:t>
            </w:r>
          </w:p>
        </w:tc>
        <w:tc>
          <w:tcPr>
            <w:tcW w:w="320" w:type="dxa"/>
            <w:vAlign w:val="bottom"/>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56"/>
              <w:spacing w:after="0"/>
              <w:rPr>
                <w:sz w:val="20"/>
                <w:szCs w:val="20"/>
                <w:color w:val="auto"/>
              </w:rPr>
            </w:pPr>
            <w:r>
              <w:rPr>
                <w:rFonts w:ascii="Arial" w:cs="Arial" w:eastAsia="Arial" w:hAnsi="Arial"/>
                <w:sz w:val="18"/>
                <w:szCs w:val="18"/>
                <w:color w:val="auto"/>
              </w:rPr>
              <w:t>50.7</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149.6</w:t>
            </w: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(66)</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940" w:type="dxa"/>
            <w:vAlign w:val="bottom"/>
          </w:tcPr>
          <w:p>
            <w:pPr>
              <w:jc w:val="right"/>
              <w:ind w:right="216"/>
              <w:spacing w:after="0"/>
              <w:rPr>
                <w:sz w:val="20"/>
                <w:szCs w:val="20"/>
                <w:color w:val="auto"/>
              </w:rPr>
            </w:pPr>
            <w:r>
              <w:rPr>
                <w:rFonts w:ascii="Arial" w:cs="Arial" w:eastAsia="Arial" w:hAnsi="Arial"/>
                <w:sz w:val="18"/>
                <w:szCs w:val="18"/>
                <w:color w:val="auto"/>
              </w:rPr>
              <w:t>636.3</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21"/>
                <w:szCs w:val="21"/>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411.8</w:t>
            </w:r>
          </w:p>
        </w:tc>
        <w:tc>
          <w:tcPr>
            <w:tcW w:w="1400" w:type="dxa"/>
            <w:vAlign w:val="bottom"/>
            <w:gridSpan w:val="2"/>
          </w:tcPr>
          <w:p>
            <w:pPr>
              <w:ind w:left="920"/>
              <w:spacing w:after="0"/>
              <w:rPr>
                <w:sz w:val="20"/>
                <w:szCs w:val="20"/>
                <w:color w:val="auto"/>
              </w:rPr>
            </w:pPr>
            <w:r>
              <w:rPr>
                <w:rFonts w:ascii="Arial" w:cs="Arial" w:eastAsia="Arial" w:hAnsi="Arial"/>
                <w:sz w:val="18"/>
                <w:szCs w:val="18"/>
                <w:color w:val="auto"/>
              </w:rPr>
              <w:t>55</w:t>
            </w:r>
          </w:p>
        </w:tc>
        <w:tc>
          <w:tcPr>
            <w:tcW w:w="320" w:type="dxa"/>
            <w:vAlign w:val="bottom"/>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56"/>
              <w:spacing w:after="0"/>
              <w:rPr>
                <w:sz w:val="20"/>
                <w:szCs w:val="20"/>
                <w:color w:val="auto"/>
              </w:rPr>
            </w:pPr>
            <w:r>
              <w:rPr>
                <w:rFonts w:ascii="Arial" w:cs="Arial" w:eastAsia="Arial" w:hAnsi="Arial"/>
                <w:sz w:val="18"/>
                <w:szCs w:val="18"/>
                <w:color w:val="auto"/>
              </w:rPr>
              <w:t>1,647.0</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w w:val="89"/>
              </w:rPr>
              <w:t>1,576.7</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4</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Diluted earnings per common share attributable</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 CME Group</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1.21</w:t>
            </w:r>
          </w:p>
        </w:tc>
        <w:tc>
          <w:tcPr>
            <w:tcW w:w="14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4.62</w:t>
            </w:r>
          </w:p>
        </w:tc>
        <w:tc>
          <w:tcPr>
            <w:tcW w:w="1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6"/>
              <w:spacing w:after="0"/>
              <w:rPr>
                <w:sz w:val="20"/>
                <w:szCs w:val="20"/>
                <w:color w:val="auto"/>
              </w:rPr>
            </w:pPr>
            <w:r>
              <w:rPr>
                <w:rFonts w:ascii="Arial" w:cs="Arial" w:eastAsia="Arial" w:hAnsi="Arial"/>
                <w:sz w:val="18"/>
                <w:szCs w:val="18"/>
                <w:color w:val="auto"/>
              </w:rPr>
              <w:t>1,953.1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w w:val="89"/>
              </w:rPr>
              <w:t>1,930.4</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1</w:t>
            </w:r>
          </w:p>
        </w:tc>
      </w:tr>
      <w:tr>
        <w:trPr>
          <w:trHeight w:val="351"/>
        </w:trPr>
        <w:tc>
          <w:tcPr>
            <w:tcW w:w="37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88"/>
        </w:trPr>
        <w:tc>
          <w:tcPr>
            <w:tcW w:w="3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6"/>
              </w:rPr>
              <w:t>Quarter Ended</w:t>
            </w: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Pr>
          <w:p>
            <w:pPr>
              <w:spacing w:after="0"/>
              <w:rPr>
                <w:sz w:val="24"/>
                <w:szCs w:val="24"/>
                <w:color w:val="auto"/>
              </w:rPr>
            </w:pPr>
          </w:p>
        </w:tc>
      </w:tr>
      <w:tr>
        <w:trPr>
          <w:trHeight w:val="192"/>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Borders>
              <w:bottom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Pr>
          <w:p>
            <w:pPr>
              <w:spacing w:after="0"/>
              <w:rPr>
                <w:sz w:val="16"/>
                <w:szCs w:val="16"/>
                <w:color w:val="auto"/>
              </w:rPr>
            </w:pP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3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1,040.7</w:t>
            </w:r>
          </w:p>
        </w:tc>
        <w:tc>
          <w:tcPr>
            <w:tcW w:w="4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3,045.1</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2,632.2</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110.7</w:t>
            </w:r>
          </w:p>
        </w:tc>
        <w:tc>
          <w:tcPr>
            <w:tcW w:w="1400" w:type="dxa"/>
            <w:vAlign w:val="bottom"/>
            <w:gridSpan w:val="2"/>
          </w:tcPr>
          <w:p>
            <w:pPr>
              <w:jc w:val="right"/>
              <w:ind w:right="119"/>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388.2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319.4</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22</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40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296.3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121.2</w:t>
            </w: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145</w:t>
            </w:r>
          </w:p>
        </w:tc>
      </w:tr>
      <w:tr>
        <w:trPr>
          <w:trHeight w:val="257"/>
        </w:trPr>
        <w:tc>
          <w:tcPr>
            <w:tcW w:w="37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1,277.3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904.2</w:t>
            </w:r>
          </w:p>
        </w:tc>
        <w:tc>
          <w:tcPr>
            <w:tcW w:w="60" w:type="dxa"/>
            <w:vAlign w:val="bottom"/>
            <w:tcBorders>
              <w:top w:val="single" w:sz="8" w:color="auto"/>
              <w:bottom w:val="single" w:sz="8" w:color="auto"/>
            </w:tcBorders>
          </w:tcPr>
          <w:p>
            <w:pPr>
              <w:spacing w:after="0"/>
              <w:rPr>
                <w:sz w:val="22"/>
                <w:szCs w:val="22"/>
                <w:color w:val="auto"/>
              </w:rPr>
            </w:pPr>
          </w:p>
        </w:tc>
        <w:tc>
          <w:tcPr>
            <w:tcW w:w="1340" w:type="dxa"/>
            <w:vAlign w:val="bottom"/>
          </w:tcPr>
          <w:p>
            <w:pPr>
              <w:jc w:val="right"/>
              <w:ind w:right="119"/>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3,729.6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3,072.8</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21</w:t>
            </w: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Clearing and Transaction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Futures and Options Contracts</w:t>
      </w:r>
    </w:p>
    <w:p>
      <w:pPr>
        <w:spacing w:after="0" w:line="19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following table summarizes our total contract volume, revenue and average rate per contract for futures and options. Total contract volume includes contracts that are traded on our exchange and cleared through our clearing house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exclude trading volume for the cash markets business and interest rate swaps volume.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3"/>
              </w:rPr>
              <w:t>2018</w:t>
            </w:r>
          </w:p>
        </w:tc>
        <w:tc>
          <w:tcPr>
            <w:tcW w:w="14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2018</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volume (in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1,295.8</w:t>
            </w:r>
          </w:p>
        </w:tc>
        <w:tc>
          <w:tcPr>
            <w:tcW w:w="5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981.8</w:t>
            </w: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32 %</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3,750.2</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3,511.2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Clearing and transaction fees (in millions)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9"/>
              <w:spacing w:after="0"/>
              <w:rPr>
                <w:sz w:val="20"/>
                <w:szCs w:val="20"/>
                <w:color w:val="auto"/>
              </w:rPr>
            </w:pPr>
            <w:r>
              <w:rPr>
                <w:rFonts w:ascii="Arial" w:cs="Arial" w:eastAsia="Arial" w:hAnsi="Arial"/>
                <w:sz w:val="18"/>
                <w:szCs w:val="18"/>
                <w:color w:val="auto"/>
              </w:rPr>
              <w:t>898.2</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739.7</w:t>
            </w:r>
          </w:p>
        </w:tc>
        <w:tc>
          <w:tcPr>
            <w:tcW w:w="1440" w:type="dxa"/>
            <w:vAlign w:val="bottom"/>
          </w:tcPr>
          <w:p>
            <w:pPr>
              <w:jc w:val="right"/>
              <w:ind w:right="254"/>
              <w:spacing w:after="0"/>
              <w:rPr>
                <w:sz w:val="20"/>
                <w:szCs w:val="20"/>
                <w:color w:val="auto"/>
              </w:rPr>
            </w:pPr>
            <w:r>
              <w:rPr>
                <w:rFonts w:ascii="Arial" w:cs="Arial" w:eastAsia="Arial" w:hAnsi="Arial"/>
                <w:sz w:val="18"/>
                <w:szCs w:val="18"/>
                <w:color w:val="auto"/>
              </w:rPr>
              <w:t>21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2,622.8</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w w:val="99"/>
              </w:rPr>
              <w:t>2,585.3</w:t>
            </w: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1</w:t>
            </w: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 per contract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0.693</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0.753</w:t>
            </w:r>
          </w:p>
        </w:tc>
        <w:tc>
          <w:tcPr>
            <w:tcW w:w="14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0.699</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0.736</w:t>
            </w:r>
          </w:p>
        </w:tc>
        <w:tc>
          <w:tcPr>
            <w:tcW w:w="1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w:t>
            </w:r>
          </w:p>
        </w:tc>
      </w:tr>
      <w:tr>
        <w:trPr>
          <w:trHeight w:val="27"/>
        </w:trPr>
        <w:tc>
          <w:tcPr>
            <w:tcW w:w="38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estimate the following net changes in clearing and transaction fees based on changes in total contract volume and changes in average rate per contract for futures and options during the third quarter and first nine months of 2019 when compared with the same periods in 2018.</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Arial" w:cs="Arial" w:eastAsia="Arial" w:hAnsi="Arial"/>
                <w:sz w:val="14"/>
                <w:szCs w:val="14"/>
                <w:b w:val="1"/>
                <w:bCs w:val="1"/>
                <w:color w:val="auto"/>
                <w:w w:val="97"/>
              </w:rPr>
              <w:t>Nine Months</w:t>
            </w:r>
          </w:p>
        </w:tc>
        <w:tc>
          <w:tcPr>
            <w:tcW w:w="0" w:type="dxa"/>
            <w:vAlign w:val="bottom"/>
          </w:tcPr>
          <w:p>
            <w:pPr>
              <w:spacing w:after="0"/>
              <w:rPr>
                <w:sz w:val="1"/>
                <w:szCs w:val="1"/>
                <w:color w:val="auto"/>
              </w:rPr>
            </w:pPr>
          </w:p>
        </w:tc>
      </w:tr>
      <w:tr>
        <w:trPr>
          <w:trHeight w:val="192"/>
        </w:trPr>
        <w:tc>
          <w:tcPr>
            <w:tcW w:w="9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4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due to change in total contract volume</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Decreases due to change in average rate per contract</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increases in clearing and transaction fees</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9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Volume</w:t>
      </w:r>
    </w:p>
    <w:p>
      <w:pPr>
        <w:spacing w:after="0" w:line="19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conditions, the regulatory environment and market competition.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060" w:type="dxa"/>
            <w:vAlign w:val="bottom"/>
            <w:gridSpan w:val="3"/>
          </w:tcPr>
          <w:p>
            <w:pPr>
              <w:jc w:val="right"/>
              <w:ind w:right="471"/>
              <w:spacing w:after="0"/>
              <w:rPr>
                <w:sz w:val="20"/>
                <w:szCs w:val="20"/>
                <w:color w:val="auto"/>
              </w:rPr>
            </w:pPr>
            <w:r>
              <w:rPr>
                <w:rFonts w:ascii="Arial" w:cs="Arial" w:eastAsia="Arial" w:hAnsi="Arial"/>
                <w:sz w:val="14"/>
                <w:szCs w:val="14"/>
                <w:b w:val="1"/>
                <w:bCs w:val="1"/>
                <w:color w:val="auto"/>
              </w:rPr>
              <w:t>Quarter Ended</w:t>
            </w:r>
          </w:p>
        </w:tc>
        <w:tc>
          <w:tcPr>
            <w:tcW w:w="1100" w:type="dxa"/>
            <w:vAlign w:val="bottom"/>
          </w:tcPr>
          <w:p>
            <w:pPr>
              <w:spacing w:after="0"/>
              <w:rPr>
                <w:sz w:val="13"/>
                <w:szCs w:val="13"/>
                <w:color w:val="auto"/>
              </w:rPr>
            </w:pPr>
          </w:p>
        </w:tc>
        <w:tc>
          <w:tcPr>
            <w:tcW w:w="2060" w:type="dxa"/>
            <w:vAlign w:val="bottom"/>
            <w:gridSpan w:val="3"/>
          </w:tcPr>
          <w:p>
            <w:pPr>
              <w:jc w:val="right"/>
              <w:ind w:right="331"/>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Pr>
          <w:p>
            <w:pPr>
              <w:spacing w:after="0"/>
              <w:rPr>
                <w:sz w:val="13"/>
                <w:szCs w:val="13"/>
                <w:color w:val="auto"/>
              </w:rPr>
            </w:pPr>
          </w:p>
        </w:tc>
      </w:tr>
      <w:tr>
        <w:trPr>
          <w:trHeight w:val="192"/>
        </w:trPr>
        <w:tc>
          <w:tcPr>
            <w:tcW w:w="5200" w:type="dxa"/>
            <w:vAlign w:val="bottom"/>
          </w:tcPr>
          <w:p>
            <w:pPr>
              <w:spacing w:after="0"/>
              <w:rPr>
                <w:sz w:val="16"/>
                <w:szCs w:val="16"/>
                <w:color w:val="auto"/>
              </w:rPr>
            </w:pPr>
          </w:p>
        </w:tc>
        <w:tc>
          <w:tcPr>
            <w:tcW w:w="2060" w:type="dxa"/>
            <w:vAlign w:val="bottom"/>
            <w:tcBorders>
              <w:bottom w:val="single" w:sz="8" w:color="auto"/>
            </w:tcBorders>
            <w:gridSpan w:val="3"/>
          </w:tcPr>
          <w:p>
            <w:pPr>
              <w:jc w:val="right"/>
              <w:ind w:right="491"/>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Pr>
          <w:p>
            <w:pPr>
              <w:spacing w:after="0"/>
              <w:rPr>
                <w:sz w:val="16"/>
                <w:szCs w:val="16"/>
                <w:color w:val="auto"/>
              </w:rPr>
            </w:pPr>
          </w:p>
        </w:tc>
        <w:tc>
          <w:tcPr>
            <w:tcW w:w="2060" w:type="dxa"/>
            <w:vAlign w:val="bottom"/>
            <w:tcBorders>
              <w:bottom w:val="single" w:sz="8" w:color="auto"/>
            </w:tcBorders>
            <w:gridSpan w:val="3"/>
          </w:tcPr>
          <w:p>
            <w:pPr>
              <w:jc w:val="right"/>
              <w:ind w:right="491"/>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spacing w:after="0"/>
              <w:rPr>
                <w:sz w:val="16"/>
                <w:szCs w:val="16"/>
                <w:color w:val="auto"/>
              </w:rPr>
            </w:pPr>
          </w:p>
        </w:tc>
      </w:tr>
      <w:tr>
        <w:trPr>
          <w:trHeight w:val="264"/>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1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Change</w:t>
            </w: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Product Line:</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Interest rates</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10,868</w:t>
            </w:r>
          </w:p>
        </w:tc>
        <w:tc>
          <w:tcPr>
            <w:tcW w:w="10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7,798</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39 %</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10,931</w:t>
            </w:r>
          </w:p>
        </w:tc>
        <w:tc>
          <w:tcPr>
            <w:tcW w:w="10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9,622</w:t>
            </w:r>
          </w:p>
        </w:tc>
        <w:tc>
          <w:tcPr>
            <w:tcW w:w="100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5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indexes</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3,931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2,671</w:t>
            </w:r>
          </w:p>
        </w:tc>
        <w:tc>
          <w:tcPr>
            <w:tcW w:w="11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47</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3,530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3,275</w:t>
            </w: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944</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(10)</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1,026</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(15)</w:t>
            </w:r>
          </w:p>
        </w:tc>
      </w:tr>
      <w:tr>
        <w:trPr>
          <w:trHeight w:val="27"/>
        </w:trPr>
        <w:tc>
          <w:tcPr>
            <w:tcW w:w="5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Agricultural commodities</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1,349</w:t>
            </w:r>
          </w:p>
        </w:tc>
        <w:tc>
          <w:tcPr>
            <w:tcW w:w="11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1,559</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Energy</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2,456</w:t>
            </w:r>
          </w:p>
        </w:tc>
        <w:tc>
          <w:tcPr>
            <w:tcW w:w="10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2,199</w:t>
            </w: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12</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2,526</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w:t>
            </w:r>
          </w:p>
        </w:tc>
      </w:tr>
      <w:tr>
        <w:trPr>
          <w:trHeight w:val="27"/>
        </w:trPr>
        <w:tc>
          <w:tcPr>
            <w:tcW w:w="5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Metals</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623</w:t>
            </w:r>
          </w:p>
        </w:tc>
        <w:tc>
          <w:tcPr>
            <w:tcW w:w="11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32</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669</w:t>
            </w: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w:t>
            </w: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9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20,247</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15,584</w:t>
            </w: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30</w:t>
            </w:r>
          </w:p>
        </w:tc>
        <w:tc>
          <w:tcPr>
            <w:tcW w:w="9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19,948</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18,677</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7</w:t>
            </w:r>
          </w:p>
        </w:tc>
      </w:tr>
      <w:tr>
        <w:trPr>
          <w:trHeight w:val="27"/>
        </w:trPr>
        <w:tc>
          <w:tcPr>
            <w:tcW w:w="5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Venue:</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CME Globex</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18,282</w:t>
            </w:r>
          </w:p>
        </w:tc>
        <w:tc>
          <w:tcPr>
            <w:tcW w:w="10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14,082</w:t>
            </w: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30</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17,803</w:t>
            </w:r>
          </w:p>
        </w:tc>
        <w:tc>
          <w:tcPr>
            <w:tcW w:w="10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16,808</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6</w:t>
            </w:r>
          </w:p>
        </w:tc>
      </w:tr>
      <w:tr>
        <w:trPr>
          <w:trHeight w:val="27"/>
        </w:trPr>
        <w:tc>
          <w:tcPr>
            <w:tcW w:w="5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outcry</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938</w:t>
            </w:r>
          </w:p>
        </w:tc>
        <w:tc>
          <w:tcPr>
            <w:tcW w:w="11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26</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1,182</w:t>
            </w: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Privately negotiated</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564</w:t>
            </w: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40</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687</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20</w:t>
            </w:r>
          </w:p>
        </w:tc>
      </w:tr>
      <w:tr>
        <w:trPr>
          <w:trHeight w:val="27"/>
        </w:trPr>
        <w:tc>
          <w:tcPr>
            <w:tcW w:w="5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average daily volume</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20,247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15,584</w:t>
            </w:r>
          </w:p>
        </w:tc>
        <w:tc>
          <w:tcPr>
            <w:tcW w:w="11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30</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19,948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18,677</w:t>
            </w: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Electronic Volume as a Percentage of Total Volume</w:t>
            </w: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1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1000" w:type="dxa"/>
            <w:vAlign w:val="bottom"/>
          </w:tcPr>
          <w:p>
            <w:pPr>
              <w:spacing w:after="0"/>
              <w:rPr>
                <w:sz w:val="21"/>
                <w:szCs w:val="21"/>
                <w:color w:val="auto"/>
              </w:rPr>
            </w:pPr>
          </w:p>
        </w:tc>
      </w:tr>
    </w:tbl>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Following periods of lower volatility in early 2019, overall market volatility increased throughout the third quarter of 2019, which we believe was largely due to a shift in expectations surrounding the Federal Reserve's interest rate policy. In the third quarter of 2019, the Federal Reserve cut interest rates twice following earlier indication that it intended to continue to slowly increase interest rates throughout 2019. Uncertainty surrounding the United States' foreign trade policy also increased in the third quarter of 2019 following the threat of additional tariffs. We believe these factors contributed to the increases in volumes for the third quarter and first nine months of 2019 when compared with the same periods in 2018.</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interest rate products. Eurodollar Front 8 futures include contracts expiring in two years or less. Eurodollar Back 32 futures include contracts with expirations after two years through ten years.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380" w:type="dxa"/>
            <w:vAlign w:val="bottom"/>
            <w:gridSpan w:val="2"/>
          </w:tcPr>
          <w:p>
            <w:pPr>
              <w:jc w:val="right"/>
              <w:ind w:right="492"/>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20" w:type="dxa"/>
            <w:vAlign w:val="bottom"/>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3"/>
              </w:rPr>
              <w:t>2018</w:t>
            </w:r>
          </w:p>
        </w:tc>
        <w:tc>
          <w:tcPr>
            <w:tcW w:w="14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Change</w:t>
            </w:r>
          </w:p>
        </w:tc>
        <w:tc>
          <w:tcPr>
            <w:tcW w:w="166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2018</w:t>
            </w:r>
          </w:p>
        </w:tc>
        <w:tc>
          <w:tcPr>
            <w:tcW w:w="13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Eurodollar futures and options:</w:t>
            </w:r>
          </w:p>
        </w:tc>
        <w:tc>
          <w:tcPr>
            <w:tcW w:w="1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Front 8 futures</w:t>
            </w:r>
          </w:p>
        </w:tc>
        <w:tc>
          <w:tcPr>
            <w:tcW w:w="1640" w:type="dxa"/>
            <w:vAlign w:val="bottom"/>
          </w:tcPr>
          <w:p>
            <w:pPr>
              <w:jc w:val="right"/>
              <w:ind w:right="555"/>
              <w:spacing w:after="0"/>
              <w:rPr>
                <w:sz w:val="20"/>
                <w:szCs w:val="20"/>
                <w:color w:val="auto"/>
              </w:rPr>
            </w:pPr>
            <w:r>
              <w:rPr>
                <w:rFonts w:ascii="Arial" w:cs="Arial" w:eastAsia="Arial" w:hAnsi="Arial"/>
                <w:sz w:val="18"/>
                <w:szCs w:val="18"/>
                <w:color w:val="auto"/>
              </w:rPr>
              <w:t>2,077</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1,566</w:t>
            </w: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33%</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2,193</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2,087</w:t>
            </w:r>
          </w:p>
        </w:tc>
        <w:tc>
          <w:tcPr>
            <w:tcW w:w="136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3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Back 32 futures</w:t>
            </w:r>
          </w:p>
        </w:tc>
        <w:tc>
          <w:tcPr>
            <w:tcW w:w="164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687</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w:t>
            </w:r>
          </w:p>
        </w:tc>
        <w:tc>
          <w:tcPr>
            <w:tcW w:w="1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21</w:t>
            </w:r>
          </w:p>
        </w:tc>
        <w:tc>
          <w:tcPr>
            <w:tcW w:w="16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719</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834</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Options</w:t>
            </w:r>
          </w:p>
        </w:tc>
        <w:tc>
          <w:tcPr>
            <w:tcW w:w="1640" w:type="dxa"/>
            <w:vAlign w:val="bottom"/>
          </w:tcPr>
          <w:p>
            <w:pPr>
              <w:jc w:val="right"/>
              <w:ind w:right="555"/>
              <w:spacing w:after="0"/>
              <w:rPr>
                <w:sz w:val="20"/>
                <w:szCs w:val="20"/>
                <w:color w:val="auto"/>
              </w:rPr>
            </w:pPr>
            <w:r>
              <w:rPr>
                <w:rFonts w:ascii="Arial" w:cs="Arial" w:eastAsia="Arial" w:hAnsi="Arial"/>
                <w:sz w:val="18"/>
                <w:szCs w:val="18"/>
                <w:color w:val="auto"/>
              </w:rPr>
              <w:t>1,633</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1,081</w:t>
            </w:r>
          </w:p>
        </w:tc>
        <w:tc>
          <w:tcPr>
            <w:tcW w:w="1420" w:type="dxa"/>
            <w:vAlign w:val="bottom"/>
          </w:tcPr>
          <w:p>
            <w:pPr>
              <w:jc w:val="right"/>
              <w:ind w:right="212"/>
              <w:spacing w:after="0"/>
              <w:rPr>
                <w:sz w:val="20"/>
                <w:szCs w:val="20"/>
                <w:color w:val="auto"/>
              </w:rPr>
            </w:pPr>
            <w:r>
              <w:rPr>
                <w:rFonts w:ascii="Arial" w:cs="Arial" w:eastAsia="Arial" w:hAnsi="Arial"/>
                <w:sz w:val="18"/>
                <w:szCs w:val="18"/>
                <w:color w:val="auto"/>
              </w:rPr>
              <w:t>51</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1,861</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1,425</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31</w:t>
            </w:r>
          </w:p>
        </w:tc>
      </w:tr>
      <w:tr>
        <w:trPr>
          <w:trHeight w:val="27"/>
        </w:trPr>
        <w:tc>
          <w:tcPr>
            <w:tcW w:w="3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futures and options:</w:t>
            </w:r>
          </w:p>
        </w:tc>
        <w:tc>
          <w:tcPr>
            <w:tcW w:w="1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10-Year</w:t>
            </w:r>
          </w:p>
        </w:tc>
        <w:tc>
          <w:tcPr>
            <w:tcW w:w="1640" w:type="dxa"/>
            <w:vAlign w:val="bottom"/>
          </w:tcPr>
          <w:p>
            <w:pPr>
              <w:jc w:val="right"/>
              <w:ind w:right="555"/>
              <w:spacing w:after="0"/>
              <w:rPr>
                <w:sz w:val="20"/>
                <w:szCs w:val="20"/>
                <w:color w:val="auto"/>
              </w:rPr>
            </w:pPr>
            <w:r>
              <w:rPr>
                <w:rFonts w:ascii="Arial" w:cs="Arial" w:eastAsia="Arial" w:hAnsi="Arial"/>
                <w:sz w:val="18"/>
                <w:szCs w:val="18"/>
                <w:color w:val="auto"/>
              </w:rPr>
              <w:t>2,462</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1,974</w:t>
            </w:r>
          </w:p>
        </w:tc>
        <w:tc>
          <w:tcPr>
            <w:tcW w:w="1420" w:type="dxa"/>
            <w:vAlign w:val="bottom"/>
          </w:tcPr>
          <w:p>
            <w:pPr>
              <w:jc w:val="right"/>
              <w:ind w:right="212"/>
              <w:spacing w:after="0"/>
              <w:rPr>
                <w:sz w:val="20"/>
                <w:szCs w:val="20"/>
                <w:color w:val="auto"/>
              </w:rPr>
            </w:pPr>
            <w:r>
              <w:rPr>
                <w:rFonts w:ascii="Arial" w:cs="Arial" w:eastAsia="Arial" w:hAnsi="Arial"/>
                <w:sz w:val="18"/>
                <w:szCs w:val="18"/>
                <w:color w:val="auto"/>
              </w:rPr>
              <w:t>25</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2,368</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2,254</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5</w:t>
            </w:r>
          </w:p>
        </w:tc>
      </w:tr>
      <w:tr>
        <w:trPr>
          <w:trHeight w:val="27"/>
        </w:trPr>
        <w:tc>
          <w:tcPr>
            <w:tcW w:w="3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5-Year</w:t>
            </w:r>
          </w:p>
        </w:tc>
        <w:tc>
          <w:tcPr>
            <w:tcW w:w="164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1,420</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1,062</w:t>
            </w:r>
          </w:p>
        </w:tc>
        <w:tc>
          <w:tcPr>
            <w:tcW w:w="1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34</w:t>
            </w:r>
          </w:p>
        </w:tc>
        <w:tc>
          <w:tcPr>
            <w:tcW w:w="16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1,408</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1,221</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15</w:t>
            </w: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2-Year</w:t>
            </w:r>
          </w:p>
        </w:tc>
        <w:tc>
          <w:tcPr>
            <w:tcW w:w="1640" w:type="dxa"/>
            <w:vAlign w:val="bottom"/>
          </w:tcPr>
          <w:p>
            <w:pPr>
              <w:jc w:val="right"/>
              <w:ind w:right="555"/>
              <w:spacing w:after="0"/>
              <w:rPr>
                <w:sz w:val="20"/>
                <w:szCs w:val="20"/>
                <w:color w:val="auto"/>
              </w:rPr>
            </w:pPr>
            <w:r>
              <w:rPr>
                <w:rFonts w:ascii="Arial" w:cs="Arial" w:eastAsia="Arial" w:hAnsi="Arial"/>
                <w:sz w:val="18"/>
                <w:szCs w:val="18"/>
                <w:color w:val="auto"/>
              </w:rPr>
              <w:t>785</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446</w:t>
            </w:r>
          </w:p>
        </w:tc>
        <w:tc>
          <w:tcPr>
            <w:tcW w:w="1420" w:type="dxa"/>
            <w:vAlign w:val="bottom"/>
          </w:tcPr>
          <w:p>
            <w:pPr>
              <w:jc w:val="right"/>
              <w:ind w:right="212"/>
              <w:spacing w:after="0"/>
              <w:rPr>
                <w:sz w:val="20"/>
                <w:szCs w:val="20"/>
                <w:color w:val="auto"/>
              </w:rPr>
            </w:pPr>
            <w:r>
              <w:rPr>
                <w:rFonts w:ascii="Arial" w:cs="Arial" w:eastAsia="Arial" w:hAnsi="Arial"/>
                <w:sz w:val="18"/>
                <w:szCs w:val="18"/>
                <w:color w:val="auto"/>
              </w:rPr>
              <w:t>76</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754</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535</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41</w:t>
            </w:r>
          </w:p>
        </w:tc>
      </w:tr>
      <w:tr>
        <w:trPr>
          <w:trHeight w:val="27"/>
        </w:trPr>
        <w:tc>
          <w:tcPr>
            <w:tcW w:w="3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Treasury bond</w:t>
            </w:r>
          </w:p>
        </w:tc>
        <w:tc>
          <w:tcPr>
            <w:tcW w:w="164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524</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w:t>
            </w:r>
          </w:p>
        </w:tc>
        <w:tc>
          <w:tcPr>
            <w:tcW w:w="1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24</w:t>
            </w:r>
          </w:p>
        </w:tc>
        <w:tc>
          <w:tcPr>
            <w:tcW w:w="16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473</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451</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Federal Funds futures and options</w:t>
            </w:r>
          </w:p>
        </w:tc>
        <w:tc>
          <w:tcPr>
            <w:tcW w:w="1640" w:type="dxa"/>
            <w:vAlign w:val="bottom"/>
          </w:tcPr>
          <w:p>
            <w:pPr>
              <w:jc w:val="right"/>
              <w:ind w:right="555"/>
              <w:spacing w:after="0"/>
              <w:rPr>
                <w:sz w:val="20"/>
                <w:szCs w:val="20"/>
                <w:color w:val="auto"/>
              </w:rPr>
            </w:pPr>
            <w:r>
              <w:rPr>
                <w:rFonts w:ascii="Arial" w:cs="Arial" w:eastAsia="Arial" w:hAnsi="Arial"/>
                <w:sz w:val="18"/>
                <w:szCs w:val="18"/>
                <w:color w:val="auto"/>
              </w:rPr>
              <w:t>450</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164</w:t>
            </w:r>
          </w:p>
        </w:tc>
        <w:tc>
          <w:tcPr>
            <w:tcW w:w="1420" w:type="dxa"/>
            <w:vAlign w:val="bottom"/>
          </w:tcPr>
          <w:p>
            <w:pPr>
              <w:jc w:val="right"/>
              <w:ind w:right="212"/>
              <w:spacing w:after="0"/>
              <w:rPr>
                <w:sz w:val="20"/>
                <w:szCs w:val="20"/>
                <w:color w:val="auto"/>
              </w:rPr>
            </w:pPr>
            <w:r>
              <w:rPr>
                <w:rFonts w:ascii="Arial" w:cs="Arial" w:eastAsia="Arial" w:hAnsi="Arial"/>
                <w:sz w:val="18"/>
                <w:szCs w:val="18"/>
                <w:color w:val="auto"/>
              </w:rPr>
              <w:t>174</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387</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241</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61</w:t>
            </w:r>
          </w:p>
        </w:tc>
      </w:tr>
    </w:tbl>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third quarter and the first nine months of 2019 when compared with the same periods in 2018, interest rate contract volumes increased largely due to market volatility resulting from uncertainty surrounding the Federal Reserve's interest rate policy. We believe volatility increased in the middle of 2019 due to a shift in expectations following the Federal Reserve's decision to cut interest rates twice during the third quarter as well as uncertainty surrounding the United State's foreign trade policy and future economic growth.</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Index Products</w:t>
      </w:r>
    </w:p>
    <w:p>
      <w:pPr>
        <w:spacing w:after="0" w:line="1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equity index products. Volumes below for the third quarter and first nine months of 2019 include Micro E-mini contract volumes for each index beginning on May 6, 2019.</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80" w:type="dxa"/>
            <w:vAlign w:val="bottom"/>
            <w:gridSpan w:val="2"/>
          </w:tcPr>
          <w:p>
            <w:pPr>
              <w:jc w:val="right"/>
              <w:ind w:right="494"/>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79"/>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3"/>
              </w:rPr>
              <w:t>2018</w:t>
            </w:r>
          </w:p>
        </w:tc>
        <w:tc>
          <w:tcPr>
            <w:tcW w:w="14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w:t>
            </w:r>
          </w:p>
        </w:tc>
        <w:tc>
          <w:tcPr>
            <w:tcW w:w="166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2018</w:t>
            </w:r>
          </w:p>
        </w:tc>
        <w:tc>
          <w:tcPr>
            <w:tcW w:w="13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E-mini S&amp;P 500 futures and options</w:t>
            </w:r>
          </w:p>
        </w:tc>
        <w:tc>
          <w:tcPr>
            <w:tcW w:w="16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rPr>
              <w:t>2,617</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1,861</w:t>
            </w:r>
          </w:p>
        </w:tc>
        <w:tc>
          <w:tcPr>
            <w:tcW w:w="1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41%</w:t>
            </w:r>
          </w:p>
        </w:tc>
        <w:tc>
          <w:tcPr>
            <w:tcW w:w="16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rPr>
              <w:t>2,384</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E-mini NASDAQ 100 futures and options</w:t>
            </w:r>
          </w:p>
        </w:tc>
        <w:tc>
          <w:tcPr>
            <w:tcW w:w="1660" w:type="dxa"/>
            <w:vAlign w:val="bottom"/>
          </w:tcPr>
          <w:p>
            <w:pPr>
              <w:jc w:val="right"/>
              <w:ind w:right="559"/>
              <w:spacing w:after="0"/>
              <w:rPr>
                <w:sz w:val="20"/>
                <w:szCs w:val="20"/>
                <w:color w:val="auto"/>
              </w:rPr>
            </w:pPr>
            <w:r>
              <w:rPr>
                <w:rFonts w:ascii="Arial" w:cs="Arial" w:eastAsia="Arial" w:hAnsi="Arial"/>
                <w:sz w:val="18"/>
                <w:szCs w:val="18"/>
                <w:color w:val="auto"/>
              </w:rPr>
              <w:t>722</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396</w:t>
            </w:r>
          </w:p>
        </w:tc>
        <w:tc>
          <w:tcPr>
            <w:tcW w:w="1440" w:type="dxa"/>
            <w:vAlign w:val="bottom"/>
          </w:tcPr>
          <w:p>
            <w:pPr>
              <w:ind w:left="960"/>
              <w:spacing w:after="0"/>
              <w:rPr>
                <w:sz w:val="20"/>
                <w:szCs w:val="20"/>
                <w:color w:val="auto"/>
              </w:rPr>
            </w:pPr>
            <w:r>
              <w:rPr>
                <w:rFonts w:ascii="Arial" w:cs="Arial" w:eastAsia="Arial" w:hAnsi="Arial"/>
                <w:sz w:val="18"/>
                <w:szCs w:val="18"/>
                <w:color w:val="auto"/>
              </w:rPr>
              <w:t>82</w:t>
            </w:r>
          </w:p>
        </w:tc>
        <w:tc>
          <w:tcPr>
            <w:tcW w:w="1660" w:type="dxa"/>
            <w:vAlign w:val="bottom"/>
          </w:tcPr>
          <w:p>
            <w:pPr>
              <w:jc w:val="right"/>
              <w:ind w:right="559"/>
              <w:spacing w:after="0"/>
              <w:rPr>
                <w:sz w:val="20"/>
                <w:szCs w:val="20"/>
                <w:color w:val="auto"/>
              </w:rPr>
            </w:pPr>
            <w:r>
              <w:rPr>
                <w:rFonts w:ascii="Arial" w:cs="Arial" w:eastAsia="Arial" w:hAnsi="Arial"/>
                <w:sz w:val="18"/>
                <w:szCs w:val="18"/>
                <w:color w:val="auto"/>
              </w:rPr>
              <w:t>602</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435</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38</w:t>
            </w:r>
          </w:p>
        </w:tc>
      </w:tr>
      <w:tr>
        <w:trPr>
          <w:trHeight w:val="27"/>
        </w:trPr>
        <w:tc>
          <w:tcPr>
            <w:tcW w:w="3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E-mini Russell 2000 futures and options</w:t>
            </w:r>
          </w:p>
        </w:tc>
        <w:tc>
          <w:tcPr>
            <w:tcW w:w="16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198</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128</w:t>
            </w:r>
          </w:p>
        </w:tc>
        <w:tc>
          <w:tcPr>
            <w:tcW w:w="1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54</w:t>
            </w:r>
          </w:p>
        </w:tc>
        <w:tc>
          <w:tcPr>
            <w:tcW w:w="16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170</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138</w:t>
            </w: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23</w:t>
            </w:r>
          </w:p>
        </w:tc>
      </w:tr>
      <w:tr>
        <w:trPr>
          <w:trHeight w:val="27"/>
        </w:trPr>
        <w:tc>
          <w:tcPr>
            <w:tcW w:w="39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third quarter and the first nine months of 2019, equity index contract volume increased when compared with the same periods in 2018 due to the launch of Micro E-mini equity index contracts in the second quarter of 2019 and higher levels of volatility, as measured by the CBOE Volatility Index and CBOE Nasdaq-100 Volatility Index. Volatility levels were higher in mid-2019 due to uncertainty surrounding the United States' foreign trade and other economic policies. Average daily contract volume in the third quarter of 2019 included approximately 569,000 in Micro-E-mini equity index contracts, which have a notional size of one-tenth of the traditional E-mini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foreign exchange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ind w:left="560"/>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w w:val="89"/>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8"/>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2018</w:t>
            </w:r>
          </w:p>
        </w:tc>
        <w:tc>
          <w:tcPr>
            <w:tcW w:w="14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Change</w:t>
            </w:r>
          </w:p>
        </w:tc>
        <w:tc>
          <w:tcPr>
            <w:tcW w:w="16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2018</w:t>
            </w:r>
          </w:p>
        </w:tc>
        <w:tc>
          <w:tcPr>
            <w:tcW w:w="13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6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rPr>
              <w:t>237</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296</w:t>
            </w: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w:t>
            </w:r>
          </w:p>
        </w:tc>
        <w:tc>
          <w:tcPr>
            <w:tcW w:w="16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238</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321</w:t>
            </w:r>
          </w:p>
        </w:tc>
        <w:tc>
          <w:tcPr>
            <w:tcW w:w="1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w w:val="95"/>
              </w:rPr>
              <w:t>(26)%</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143</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137</w:t>
            </w:r>
          </w:p>
        </w:tc>
        <w:tc>
          <w:tcPr>
            <w:tcW w:w="1460" w:type="dxa"/>
            <w:vAlign w:val="bottom"/>
          </w:tcPr>
          <w:p>
            <w:pPr>
              <w:jc w:val="right"/>
              <w:ind w:right="254"/>
              <w:spacing w:after="0"/>
              <w:rPr>
                <w:sz w:val="20"/>
                <w:szCs w:val="20"/>
                <w:color w:val="auto"/>
              </w:rPr>
            </w:pPr>
            <w:r>
              <w:rPr>
                <w:rFonts w:ascii="Arial" w:cs="Arial" w:eastAsia="Arial" w:hAnsi="Arial"/>
                <w:sz w:val="18"/>
                <w:szCs w:val="18"/>
                <w:color w:val="auto"/>
              </w:rPr>
              <w:t>5</w:t>
            </w:r>
          </w:p>
        </w:tc>
        <w:tc>
          <w:tcPr>
            <w:tcW w:w="1640" w:type="dxa"/>
            <w:vAlign w:val="bottom"/>
          </w:tcPr>
          <w:p>
            <w:pPr>
              <w:ind w:left="740"/>
              <w:spacing w:after="0"/>
              <w:rPr>
                <w:sz w:val="20"/>
                <w:szCs w:val="20"/>
                <w:color w:val="auto"/>
              </w:rPr>
            </w:pPr>
            <w:r>
              <w:rPr>
                <w:rFonts w:ascii="Arial" w:cs="Arial" w:eastAsia="Arial" w:hAnsi="Arial"/>
                <w:sz w:val="18"/>
                <w:szCs w:val="18"/>
                <w:color w:val="auto"/>
              </w:rPr>
              <w:t>141</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158</w:t>
            </w:r>
          </w:p>
        </w:tc>
        <w:tc>
          <w:tcPr>
            <w:tcW w:w="1360" w:type="dxa"/>
            <w:vAlign w:val="bottom"/>
          </w:tcPr>
          <w:p>
            <w:pPr>
              <w:ind w:left="880"/>
              <w:spacing w:after="0"/>
              <w:rPr>
                <w:sz w:val="20"/>
                <w:szCs w:val="20"/>
                <w:color w:val="auto"/>
              </w:rPr>
            </w:pPr>
            <w:r>
              <w:rPr>
                <w:rFonts w:ascii="Arial" w:cs="Arial" w:eastAsia="Arial" w:hAnsi="Arial"/>
                <w:sz w:val="18"/>
                <w:szCs w:val="18"/>
                <w:color w:val="auto"/>
              </w:rPr>
              <w:t>(11)</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16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rPr>
              <w:t>125</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w:t>
            </w:r>
          </w:p>
        </w:tc>
        <w:tc>
          <w:tcPr>
            <w:tcW w:w="146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(9)</w:t>
            </w:r>
          </w:p>
        </w:tc>
        <w:tc>
          <w:tcPr>
            <w:tcW w:w="16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126</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w:t>
            </w:r>
          </w:p>
        </w:tc>
        <w:tc>
          <w:tcPr>
            <w:tcW w:w="1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(12)</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96</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114</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(16)</w:t>
            </w:r>
          </w:p>
        </w:tc>
        <w:tc>
          <w:tcPr>
            <w:tcW w:w="1640" w:type="dxa"/>
            <w:vAlign w:val="bottom"/>
          </w:tcPr>
          <w:p>
            <w:pPr>
              <w:ind w:left="740"/>
              <w:spacing w:after="0"/>
              <w:rPr>
                <w:sz w:val="20"/>
                <w:szCs w:val="20"/>
                <w:color w:val="auto"/>
              </w:rPr>
            </w:pPr>
            <w:r>
              <w:rPr>
                <w:rFonts w:ascii="Arial" w:cs="Arial" w:eastAsia="Arial" w:hAnsi="Arial"/>
                <w:sz w:val="18"/>
                <w:szCs w:val="18"/>
                <w:color w:val="auto"/>
              </w:rPr>
              <w:t>106</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120</w:t>
            </w:r>
          </w:p>
        </w:tc>
        <w:tc>
          <w:tcPr>
            <w:tcW w:w="1360" w:type="dxa"/>
            <w:vAlign w:val="bottom"/>
          </w:tcPr>
          <w:p>
            <w:pPr>
              <w:ind w:left="880"/>
              <w:spacing w:after="0"/>
              <w:rPr>
                <w:sz w:val="20"/>
                <w:szCs w:val="20"/>
                <w:color w:val="auto"/>
              </w:rPr>
            </w:pPr>
            <w:r>
              <w:rPr>
                <w:rFonts w:ascii="Arial" w:cs="Arial" w:eastAsia="Arial" w:hAnsi="Arial"/>
                <w:sz w:val="18"/>
                <w:szCs w:val="18"/>
                <w:color w:val="auto"/>
              </w:rPr>
              <w:t>(12)</w:t>
            </w:r>
          </w:p>
        </w:tc>
      </w:tr>
    </w:tbl>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third quarter and first nine months of 2019, overall foreign exchange contract volumes decreased when compared with the same periods in 2018, which we believe resulted from an overall decrease in volatility following periods of higher volatility in early 2018. We believe foreign exchange volatility decreased in 2019 following indication by the Federal Reserve and other central banks to limit the number of interest rate changes throughout 2019. We also believe that the lack of resolution of the</w:t>
      </w:r>
    </w:p>
    <w:p>
      <w:pPr>
        <w:sectPr>
          <w:pgSz w:w="11900" w:h="16838" w:orient="portrait"/>
          <w:cols w:equalWidth="0" w:num="1">
            <w:col w:w="11420"/>
          </w:cols>
          <w:pgMar w:left="240" w:top="125"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trade agreement between the United States and China and the delay in the United Kingdom European Union membership referendum contributed to lower volumes.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agricultural commodity products.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40" w:type="dxa"/>
            <w:vAlign w:val="bottom"/>
          </w:tcPr>
          <w:p>
            <w:pPr>
              <w:ind w:left="700"/>
              <w:spacing w:after="0"/>
              <w:rPr>
                <w:sz w:val="20"/>
                <w:szCs w:val="20"/>
                <w:color w:val="auto"/>
              </w:rPr>
            </w:pPr>
            <w:r>
              <w:rPr>
                <w:rFonts w:ascii="Arial" w:cs="Arial" w:eastAsia="Arial" w:hAnsi="Arial"/>
                <w:sz w:val="14"/>
                <w:szCs w:val="14"/>
                <w:b w:val="1"/>
                <w:bCs w:val="1"/>
                <w:color w:val="auto"/>
                <w:w w:val="94"/>
              </w:rPr>
              <w:t>Quarter Ended</w:t>
            </w: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ind w:left="560"/>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900" w:type="dxa"/>
            <w:vAlign w:val="bottom"/>
          </w:tcPr>
          <w:p>
            <w:pPr>
              <w:spacing w:after="0"/>
              <w:rPr>
                <w:sz w:val="16"/>
                <w:szCs w:val="16"/>
                <w:color w:val="auto"/>
              </w:rPr>
            </w:pPr>
          </w:p>
        </w:tc>
        <w:tc>
          <w:tcPr>
            <w:tcW w:w="164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w w:val="89"/>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9"/>
              </w:rPr>
              <w:t>2018</w:t>
            </w:r>
          </w:p>
        </w:tc>
        <w:tc>
          <w:tcPr>
            <w:tcW w:w="14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16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2018</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Corn</w:t>
            </w:r>
          </w:p>
        </w:tc>
        <w:tc>
          <w:tcPr>
            <w:tcW w:w="16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490</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434</w:t>
            </w: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13 %</w:t>
            </w:r>
          </w:p>
        </w:tc>
        <w:tc>
          <w:tcPr>
            <w:tcW w:w="16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583</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Soybean</w:t>
            </w:r>
          </w:p>
        </w:tc>
        <w:tc>
          <w:tcPr>
            <w:tcW w:w="1640" w:type="dxa"/>
            <w:vAlign w:val="bottom"/>
          </w:tcPr>
          <w:p>
            <w:pPr>
              <w:ind w:left="740"/>
              <w:spacing w:after="0"/>
              <w:rPr>
                <w:sz w:val="20"/>
                <w:szCs w:val="20"/>
                <w:color w:val="auto"/>
              </w:rPr>
            </w:pPr>
            <w:r>
              <w:rPr>
                <w:rFonts w:ascii="Arial" w:cs="Arial" w:eastAsia="Arial" w:hAnsi="Arial"/>
                <w:sz w:val="18"/>
                <w:szCs w:val="18"/>
                <w:color w:val="auto"/>
              </w:rPr>
              <w:t>216</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239</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(9)</w:t>
            </w:r>
          </w:p>
        </w:tc>
        <w:tc>
          <w:tcPr>
            <w:tcW w:w="1640" w:type="dxa"/>
            <w:vAlign w:val="bottom"/>
          </w:tcPr>
          <w:p>
            <w:pPr>
              <w:ind w:left="740"/>
              <w:spacing w:after="0"/>
              <w:rPr>
                <w:sz w:val="20"/>
                <w:szCs w:val="20"/>
                <w:color w:val="auto"/>
              </w:rPr>
            </w:pPr>
            <w:r>
              <w:rPr>
                <w:rFonts w:ascii="Arial" w:cs="Arial" w:eastAsia="Arial" w:hAnsi="Arial"/>
                <w:sz w:val="18"/>
                <w:szCs w:val="18"/>
                <w:color w:val="auto"/>
              </w:rPr>
              <w:t>255</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318</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(20)</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Wheat</w:t>
            </w:r>
          </w:p>
        </w:tc>
        <w:tc>
          <w:tcPr>
            <w:tcW w:w="16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189</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249</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(24)</w:t>
            </w:r>
          </w:p>
        </w:tc>
        <w:tc>
          <w:tcPr>
            <w:tcW w:w="16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227</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269</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(16)</w:t>
            </w:r>
          </w:p>
        </w:tc>
      </w:tr>
      <w:tr>
        <w:trPr>
          <w:trHeight w:val="27"/>
        </w:trPr>
        <w:tc>
          <w:tcPr>
            <w:tcW w:w="39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Overall commodity contract volumes decreased slightly in the third quarter and the first nine months of 2019 when compared with the same periods in 2018. We believe the declines in soybean contract volumes were due to lower U.S. exports of soybeans to China due to uncertainty surrounding trade policies between the countries. The decreases in wheat contract volumes were due to lower volatility levels resulting from a surplus of global supplies in major growing regions around the world. Corn contract volumes increased due to significant uncertainty surrounding crop yields for the 2019 growing season due to higher than normal precipitation levels.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energy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474"/>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90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9"/>
              </w:rPr>
              <w:t>2018</w:t>
            </w:r>
          </w:p>
        </w:tc>
        <w:tc>
          <w:tcPr>
            <w:tcW w:w="14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1640" w:type="dxa"/>
            <w:vAlign w:val="bottom"/>
            <w:tcBorders>
              <w:bottom w:val="single" w:sz="8" w:color="auto"/>
            </w:tcBorders>
          </w:tcPr>
          <w:p>
            <w:pPr>
              <w:jc w:val="right"/>
              <w:ind w:right="839"/>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2018</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WTI crude oil</w:t>
            </w:r>
          </w:p>
        </w:tc>
        <w:tc>
          <w:tcPr>
            <w:tcW w:w="16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rPr>
              <w:t>1,398</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1,195</w:t>
            </w: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17 %</w:t>
            </w:r>
          </w:p>
        </w:tc>
        <w:tc>
          <w:tcPr>
            <w:tcW w:w="16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rPr>
              <w:t>1,405</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640" w:type="dxa"/>
            <w:vAlign w:val="bottom"/>
          </w:tcPr>
          <w:p>
            <w:pPr>
              <w:jc w:val="right"/>
              <w:ind w:right="539"/>
              <w:spacing w:after="0"/>
              <w:rPr>
                <w:sz w:val="20"/>
                <w:szCs w:val="20"/>
                <w:color w:val="auto"/>
              </w:rPr>
            </w:pPr>
            <w:r>
              <w:rPr>
                <w:rFonts w:ascii="Arial" w:cs="Arial" w:eastAsia="Arial" w:hAnsi="Arial"/>
                <w:sz w:val="18"/>
                <w:szCs w:val="18"/>
                <w:color w:val="auto"/>
              </w:rPr>
              <w:t>560</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517</w:t>
            </w:r>
          </w:p>
        </w:tc>
        <w:tc>
          <w:tcPr>
            <w:tcW w:w="1460" w:type="dxa"/>
            <w:vAlign w:val="bottom"/>
          </w:tcPr>
          <w:p>
            <w:pPr>
              <w:jc w:val="right"/>
              <w:ind w:right="254"/>
              <w:spacing w:after="0"/>
              <w:rPr>
                <w:sz w:val="20"/>
                <w:szCs w:val="20"/>
                <w:color w:val="auto"/>
              </w:rPr>
            </w:pPr>
            <w:r>
              <w:rPr>
                <w:rFonts w:ascii="Arial" w:cs="Arial" w:eastAsia="Arial" w:hAnsi="Arial"/>
                <w:sz w:val="18"/>
                <w:szCs w:val="18"/>
                <w:color w:val="auto"/>
              </w:rPr>
              <w:t>8</w:t>
            </w:r>
          </w:p>
        </w:tc>
        <w:tc>
          <w:tcPr>
            <w:tcW w:w="1640" w:type="dxa"/>
            <w:vAlign w:val="bottom"/>
          </w:tcPr>
          <w:p>
            <w:pPr>
              <w:jc w:val="right"/>
              <w:ind w:right="539"/>
              <w:spacing w:after="0"/>
              <w:rPr>
                <w:sz w:val="20"/>
                <w:szCs w:val="20"/>
                <w:color w:val="auto"/>
              </w:rPr>
            </w:pPr>
            <w:r>
              <w:rPr>
                <w:rFonts w:ascii="Arial" w:cs="Arial" w:eastAsia="Arial" w:hAnsi="Arial"/>
                <w:sz w:val="18"/>
                <w:szCs w:val="18"/>
                <w:color w:val="auto"/>
              </w:rPr>
              <w:t>500</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554</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(10)</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Refined products</w:t>
            </w:r>
          </w:p>
        </w:tc>
        <w:tc>
          <w:tcPr>
            <w:tcW w:w="164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360</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381</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(6)</w:t>
            </w:r>
          </w:p>
        </w:tc>
        <w:tc>
          <w:tcPr>
            <w:tcW w:w="164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382</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403</w:t>
            </w:r>
          </w:p>
        </w:tc>
        <w:tc>
          <w:tcPr>
            <w:tcW w:w="1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w:t>
            </w:r>
          </w:p>
        </w:tc>
      </w:tr>
      <w:tr>
        <w:trPr>
          <w:trHeight w:val="27"/>
        </w:trPr>
        <w:tc>
          <w:tcPr>
            <w:tcW w:w="39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Overall energy contract volume increased in the third quarter of 2019 when compared with the same period in 2018 largely due to an increase in crude oil volume. We believe the increase in crude oil contract volume in the third quarter of 2019 was due to geopolitical uncertainty in the middle east.</w:t>
      </w:r>
    </w:p>
    <w:p>
      <w:pPr>
        <w:spacing w:after="0" w:line="7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We believe overall energy contract volume decreased in the first nine months of 2019 due to lower price volatility within the energy markets in early 2019 due to greater price stability within the crude oil markets. In addition, expanded production of natural gas resulted in a reduction of price volatility in early 2019, which we believe contributed to a decrease in natural gas volume.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ind w:left="560"/>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90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w w:val="89"/>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9"/>
              </w:rPr>
              <w:t>2018</w:t>
            </w:r>
          </w:p>
        </w:tc>
        <w:tc>
          <w:tcPr>
            <w:tcW w:w="14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16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2018</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16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rPr>
              <w:t>559</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w:t>
            </w: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56 %</w:t>
            </w:r>
          </w:p>
        </w:tc>
        <w:tc>
          <w:tcPr>
            <w:tcW w:w="16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432</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Silver</w:t>
            </w:r>
          </w:p>
        </w:tc>
        <w:tc>
          <w:tcPr>
            <w:tcW w:w="1640" w:type="dxa"/>
            <w:vAlign w:val="bottom"/>
          </w:tcPr>
          <w:p>
            <w:pPr>
              <w:jc w:val="right"/>
              <w:ind w:right="539"/>
              <w:spacing w:after="0"/>
              <w:rPr>
                <w:sz w:val="20"/>
                <w:szCs w:val="20"/>
                <w:color w:val="auto"/>
              </w:rPr>
            </w:pPr>
            <w:r>
              <w:rPr>
                <w:rFonts w:ascii="Arial" w:cs="Arial" w:eastAsia="Arial" w:hAnsi="Arial"/>
                <w:sz w:val="18"/>
                <w:szCs w:val="18"/>
                <w:color w:val="auto"/>
              </w:rPr>
              <w:t>137</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97</w:t>
            </w:r>
          </w:p>
        </w:tc>
        <w:tc>
          <w:tcPr>
            <w:tcW w:w="1460" w:type="dxa"/>
            <w:vAlign w:val="bottom"/>
          </w:tcPr>
          <w:p>
            <w:pPr>
              <w:jc w:val="right"/>
              <w:ind w:right="254"/>
              <w:spacing w:after="0"/>
              <w:rPr>
                <w:sz w:val="20"/>
                <w:szCs w:val="20"/>
                <w:color w:val="auto"/>
              </w:rPr>
            </w:pPr>
            <w:r>
              <w:rPr>
                <w:rFonts w:ascii="Arial" w:cs="Arial" w:eastAsia="Arial" w:hAnsi="Arial"/>
                <w:sz w:val="18"/>
                <w:szCs w:val="18"/>
                <w:color w:val="auto"/>
              </w:rPr>
              <w:t>41</w:t>
            </w:r>
          </w:p>
        </w:tc>
        <w:tc>
          <w:tcPr>
            <w:tcW w:w="1640" w:type="dxa"/>
            <w:vAlign w:val="bottom"/>
          </w:tcPr>
          <w:p>
            <w:pPr>
              <w:ind w:left="740"/>
              <w:spacing w:after="0"/>
              <w:rPr>
                <w:sz w:val="20"/>
                <w:szCs w:val="20"/>
                <w:color w:val="auto"/>
              </w:rPr>
            </w:pPr>
            <w:r>
              <w:rPr>
                <w:rFonts w:ascii="Arial" w:cs="Arial" w:eastAsia="Arial" w:hAnsi="Arial"/>
                <w:sz w:val="18"/>
                <w:szCs w:val="18"/>
                <w:color w:val="auto"/>
              </w:rPr>
              <w:t>109</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107</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2</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Copper</w:t>
            </w:r>
          </w:p>
        </w:tc>
        <w:tc>
          <w:tcPr>
            <w:tcW w:w="164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93</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138</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(33)</w:t>
            </w:r>
          </w:p>
        </w:tc>
        <w:tc>
          <w:tcPr>
            <w:tcW w:w="16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102</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140</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(28)</w:t>
            </w:r>
          </w:p>
        </w:tc>
      </w:tr>
      <w:tr>
        <w:trPr>
          <w:trHeight w:val="27"/>
        </w:trPr>
        <w:tc>
          <w:tcPr>
            <w:tcW w:w="39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Overall metal contract volumes increased in the third quarter and first nine months of 2019 when compared with the same periods in 2018 due to investors using gold and other precious metals as safe-haven alternative investments to other volatile markets, particularly in the third quarter of 2019.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17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average rate per contract decreased in the third quarter and first nine months of 2019 when compared with the same periods in 2018. The decreases were largely due to shifts in product mix. In the third quarter of 2019, interest rate and equity index contract volumes increased by 6 percentage points as a percentage of total volume, while all other products collectively decreased by 6 percentage points. In the first nine months, interest rate and equity index contract volumes increased by 3 percentage points as a percentage of total volume, while all other products collectively decreased by 3 percentage points. In</w:t>
      </w:r>
    </w:p>
    <w:p>
      <w:pPr>
        <w:sectPr>
          <w:pgSz w:w="11900" w:h="16838" w:orient="portrait"/>
          <w:cols w:equalWidth="0" w:num="1">
            <w:col w:w="11420"/>
          </w:cols>
          <w:pgMar w:left="240" w:top="125" w:right="239"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general, interest rate and equity index products have a lower rate per contract compared with the remaining contracts. The decreases in average rate per contract were also due to increases in member trading volume as a percentage of total volume.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Markets Business</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Total clearing and transaction fees revenues in the third quarter and first nine months of 2019 include $124.9 million and $368.5 million of transaction fees attributable to the cash markets business acquired from NEX. This revenue includes BrokerTec U.S.'s fixed income volume and EBS's foreign exchange volume.</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jc w:val="center"/>
              <w:ind w:right="78"/>
              <w:spacing w:after="0"/>
              <w:rPr>
                <w:sz w:val="20"/>
                <w:szCs w:val="20"/>
                <w:color w:val="auto"/>
              </w:rPr>
            </w:pPr>
            <w:r>
              <w:rPr>
                <w:rFonts w:ascii="Arial" w:cs="Arial" w:eastAsia="Arial" w:hAnsi="Arial"/>
                <w:sz w:val="14"/>
                <w:szCs w:val="14"/>
                <w:b w:val="1"/>
                <w:bCs w:val="1"/>
                <w:color w:val="auto"/>
                <w:w w:val="96"/>
              </w:rPr>
              <w:t>Quarter Ended</w:t>
            </w:r>
          </w:p>
        </w:tc>
        <w:tc>
          <w:tcPr>
            <w:tcW w:w="240" w:type="dxa"/>
            <w:vAlign w:val="bottom"/>
          </w:tcPr>
          <w:p>
            <w:pPr>
              <w:spacing w:after="0"/>
              <w:rPr>
                <w:sz w:val="14"/>
                <w:szCs w:val="14"/>
                <w:color w:val="auto"/>
              </w:rPr>
            </w:pPr>
          </w:p>
        </w:tc>
        <w:tc>
          <w:tcPr>
            <w:tcW w:w="1440" w:type="dxa"/>
            <w:vAlign w:val="bottom"/>
          </w:tcPr>
          <w:p>
            <w:pPr>
              <w:ind w:left="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7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millions)</w:t>
            </w: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September 30, 2019</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351"/>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BrokerTec U.S.'s fixed income transaction fees</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51.1</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115"/>
        </w:trPr>
        <w:tc>
          <w:tcPr>
            <w:tcW w:w="796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vMerge w:val="continue"/>
            <w:shd w:val="clear" w:color="auto" w:fill="CCEEFF"/>
          </w:tcPr>
          <w:p>
            <w:pPr>
              <w:spacing w:after="0"/>
              <w:rPr>
                <w:sz w:val="10"/>
                <w:szCs w:val="10"/>
                <w:color w:val="auto"/>
              </w:rPr>
            </w:pPr>
          </w:p>
        </w:tc>
        <w:tc>
          <w:tcPr>
            <w:tcW w:w="1460" w:type="dxa"/>
            <w:vAlign w:val="bottom"/>
            <w:tcBorders>
              <w:bottom w:val="single" w:sz="8" w:color="CCEEFF"/>
            </w:tcBorders>
            <w:vMerge w:val="continue"/>
            <w:shd w:val="clear" w:color="auto" w:fill="CCEEFF"/>
          </w:tcPr>
          <w:p>
            <w:pPr>
              <w:spacing w:after="0"/>
              <w:rPr>
                <w:sz w:val="10"/>
                <w:szCs w:val="10"/>
                <w:color w:val="auto"/>
              </w:rPr>
            </w:pPr>
          </w:p>
        </w:tc>
        <w:tc>
          <w:tcPr>
            <w:tcW w:w="240" w:type="dxa"/>
            <w:vAlign w:val="bottom"/>
            <w:tcBorders>
              <w:bottom w:val="single" w:sz="8" w:color="CCEEFF"/>
            </w:tcBorders>
            <w:vMerge w:val="continue"/>
            <w:shd w:val="clear" w:color="auto" w:fill="CCEEFF"/>
          </w:tcPr>
          <w:p>
            <w:pPr>
              <w:spacing w:after="0"/>
              <w:rPr>
                <w:sz w:val="10"/>
                <w:szCs w:val="10"/>
                <w:color w:val="auto"/>
              </w:rPr>
            </w:pPr>
          </w:p>
        </w:tc>
        <w:tc>
          <w:tcPr>
            <w:tcW w:w="144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7960" w:type="dxa"/>
            <w:vAlign w:val="bottom"/>
          </w:tcPr>
          <w:p>
            <w:pPr>
              <w:ind w:left="40"/>
              <w:spacing w:after="0"/>
              <w:rPr>
                <w:sz w:val="20"/>
                <w:szCs w:val="20"/>
                <w:color w:val="auto"/>
              </w:rPr>
            </w:pPr>
            <w:r>
              <w:rPr>
                <w:rFonts w:ascii="Arial" w:cs="Arial" w:eastAsia="Arial" w:hAnsi="Arial"/>
                <w:sz w:val="18"/>
                <w:szCs w:val="18"/>
                <w:color w:val="auto"/>
              </w:rPr>
              <w:t>EBS's foreign exchange transaction fees</w:t>
            </w:r>
          </w:p>
        </w:tc>
        <w:tc>
          <w:tcPr>
            <w:tcW w:w="320" w:type="dxa"/>
            <w:vAlign w:val="bottom"/>
          </w:tcPr>
          <w:p>
            <w:pPr>
              <w:spacing w:after="0"/>
              <w:rPr>
                <w:sz w:val="24"/>
                <w:szCs w:val="24"/>
                <w:color w:val="auto"/>
              </w:rPr>
            </w:pPr>
          </w:p>
        </w:tc>
        <w:tc>
          <w:tcPr>
            <w:tcW w:w="1460" w:type="dxa"/>
            <w:vAlign w:val="bottom"/>
            <w:vMerge w:val="restart"/>
          </w:tcPr>
          <w:p>
            <w:pPr>
              <w:jc w:val="right"/>
              <w:ind w:right="38"/>
              <w:spacing w:after="0"/>
              <w:rPr>
                <w:sz w:val="20"/>
                <w:szCs w:val="20"/>
                <w:color w:val="auto"/>
              </w:rPr>
            </w:pPr>
            <w:r>
              <w:rPr>
                <w:rFonts w:ascii="Arial" w:cs="Arial" w:eastAsia="Arial" w:hAnsi="Arial"/>
                <w:sz w:val="18"/>
                <w:szCs w:val="18"/>
                <w:color w:val="auto"/>
              </w:rPr>
              <w:t>49.6</w:t>
            </w:r>
          </w:p>
        </w:tc>
        <w:tc>
          <w:tcPr>
            <w:tcW w:w="240" w:type="dxa"/>
            <w:vAlign w:val="bottom"/>
          </w:tcPr>
          <w:p>
            <w:pPr>
              <w:spacing w:after="0"/>
              <w:rPr>
                <w:sz w:val="24"/>
                <w:szCs w:val="24"/>
                <w:color w:val="auto"/>
              </w:rPr>
            </w:pPr>
          </w:p>
        </w:tc>
        <w:tc>
          <w:tcPr>
            <w:tcW w:w="1440" w:type="dxa"/>
            <w:vAlign w:val="bottom"/>
            <w:vMerge w:val="restart"/>
          </w:tcPr>
          <w:p>
            <w:pPr>
              <w:jc w:val="right"/>
              <w:ind w:right="18"/>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108"/>
        </w:trPr>
        <w:tc>
          <w:tcPr>
            <w:tcW w:w="7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7960" w:type="dxa"/>
            <w:vAlign w:val="bottom"/>
          </w:tcPr>
          <w:p>
            <w:pPr>
              <w:spacing w:after="0"/>
              <w:rPr>
                <w:sz w:val="20"/>
                <w:szCs w:val="20"/>
                <w:color w:val="auto"/>
              </w:rPr>
            </w:pPr>
            <w:r>
              <w:rPr>
                <w:rFonts w:ascii="Arial" w:cs="Arial" w:eastAsia="Arial" w:hAnsi="Arial"/>
                <w:sz w:val="18"/>
                <w:szCs w:val="18"/>
                <w:color w:val="auto"/>
                <w:w w:val="93"/>
              </w:rPr>
              <w:t>The related average daily notional value for the third quarter and first nine months of 2019 were as follows:</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7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jc w:val="center"/>
              <w:ind w:right="78"/>
              <w:spacing w:after="0"/>
              <w:rPr>
                <w:sz w:val="20"/>
                <w:szCs w:val="20"/>
                <w:color w:val="auto"/>
              </w:rPr>
            </w:pPr>
            <w:r>
              <w:rPr>
                <w:rFonts w:ascii="Arial" w:cs="Arial" w:eastAsia="Arial" w:hAnsi="Arial"/>
                <w:sz w:val="14"/>
                <w:szCs w:val="14"/>
                <w:b w:val="1"/>
                <w:bCs w:val="1"/>
                <w:color w:val="auto"/>
                <w:w w:val="96"/>
              </w:rPr>
              <w:t>Quarter Ended</w:t>
            </w:r>
          </w:p>
        </w:tc>
        <w:tc>
          <w:tcPr>
            <w:tcW w:w="24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7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billions)</w:t>
            </w: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September 30, 2019</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178.5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European Repo (in euros)</w:t>
            </w:r>
          </w:p>
        </w:tc>
        <w:tc>
          <w:tcPr>
            <w:tcW w:w="32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271.9</w:t>
            </w:r>
          </w:p>
        </w:tc>
        <w:tc>
          <w:tcPr>
            <w:tcW w:w="240" w:type="dxa"/>
            <w:vAlign w:val="bottom"/>
          </w:tcPr>
          <w:p>
            <w:pPr>
              <w:spacing w:after="0"/>
              <w:rPr>
                <w:sz w:val="21"/>
                <w:szCs w:val="21"/>
                <w:color w:val="auto"/>
              </w:rPr>
            </w:pP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Spot FX</w:t>
            </w:r>
          </w:p>
        </w:tc>
        <w:tc>
          <w:tcPr>
            <w:tcW w:w="3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78.5</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7"/>
        </w:trPr>
        <w:tc>
          <w:tcPr>
            <w:tcW w:w="7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Revenue</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bill a substantial portion of our clearing and transaction fees directly to our clearing firms. The majority of clearing and transaction fees received from clearing firms represent charges for trades executed and cleared on behalf of their customers. No individual firm represented at least 10% of our clearing and transaction fees in the first nine months of 2019.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increases in market data and information services revenues in the third quarter and first nine months of 2019 when compared with the same periods in 2018 were largely attributable to the additional market data revenue generated by market data subscribers and distributors associated with the legacy NEX businesses subsequent to the acquisition in November 2018. In addition, fees for legacy CME basic real-time market data services increased to $105 per month from $85 per month for each device beginning in the second quarter of 2018, which also contributed to the increase in revenue in the first nine months of 2019 when compared with the same period in 2018. The increases were partially offset by a reduction in revenues due to modest declines in screen counts due to cost-cutting initiatives at member firms.</w:t>
      </w:r>
    </w:p>
    <w:p>
      <w:pPr>
        <w:spacing w:after="0" w:line="19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two largest resellers of our market data represented approximately 42% of our market data and information services revenue in the first nine months of 2019.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188"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In the third quarter and first nine months of 2019 when compared with the same periods in 2018, the increases in other revenues were largely due to the additional other revenues contributed by the NEX acquisition. Other revenues from NEX primarily include optimization services, such as portfolio management, analytics, and trade and regulatory reporting as well as connectivity charges.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3"/>
              </w:rPr>
              <w:t>2018</w:t>
            </w:r>
          </w:p>
        </w:tc>
        <w:tc>
          <w:tcPr>
            <w:tcW w:w="14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2018</w:t>
            </w:r>
          </w:p>
        </w:tc>
        <w:tc>
          <w:tcPr>
            <w:tcW w:w="13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144.9</w:t>
            </w:r>
          </w:p>
        </w:tc>
        <w:tc>
          <w:tcPr>
            <w:tcW w:w="1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24.7</w:t>
            </w:r>
          </w:p>
        </w:tc>
        <w:tc>
          <w:tcPr>
            <w:tcW w:w="1440" w:type="dxa"/>
            <w:vAlign w:val="bottom"/>
          </w:tcPr>
          <w:p>
            <w:pPr>
              <w:jc w:val="right"/>
              <w:ind w:right="212"/>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75.4</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97</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w:t>
            </w:r>
          </w:p>
        </w:tc>
        <w:tc>
          <w:tcPr>
            <w:tcW w:w="14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38</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105.8</w:t>
            </w: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23.7</w:t>
            </w:r>
          </w:p>
        </w:tc>
        <w:tc>
          <w:tcPr>
            <w:tcW w:w="1440" w:type="dxa"/>
            <w:vAlign w:val="bottom"/>
          </w:tcPr>
          <w:p>
            <w:pPr>
              <w:jc w:val="right"/>
              <w:ind w:right="212"/>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71.0</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n.m.</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w:t>
            </w:r>
          </w:p>
        </w:tc>
        <w:tc>
          <w:tcPr>
            <w:tcW w:w="14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85.8</w:t>
            </w: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41</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33.4</w:t>
            </w:r>
          </w:p>
        </w:tc>
        <w:tc>
          <w:tcPr>
            <w:tcW w:w="1440" w:type="dxa"/>
            <w:vAlign w:val="bottom"/>
          </w:tcPr>
          <w:p>
            <w:pPr>
              <w:jc w:val="right"/>
              <w:ind w:right="212"/>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122.8</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7</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66.1</w:t>
            </w:r>
          </w:p>
        </w:tc>
        <w:tc>
          <w:tcPr>
            <w:tcW w:w="14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60</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272.9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205.9</w:t>
            </w: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w:t>
            </w:r>
          </w:p>
        </w:tc>
      </w:tr>
      <w:tr>
        <w:trPr>
          <w:trHeight w:val="257"/>
        </w:trPr>
        <w:tc>
          <w:tcPr>
            <w:tcW w:w="392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592.1</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354.3</w:t>
            </w:r>
          </w:p>
        </w:tc>
        <w:tc>
          <w:tcPr>
            <w:tcW w:w="1440" w:type="dxa"/>
            <w:vAlign w:val="bottom"/>
          </w:tcPr>
          <w:p>
            <w:pPr>
              <w:jc w:val="right"/>
              <w:ind w:right="212"/>
              <w:spacing w:after="0"/>
              <w:rPr>
                <w:sz w:val="20"/>
                <w:szCs w:val="20"/>
                <w:color w:val="auto"/>
              </w:rPr>
            </w:pPr>
            <w:r>
              <w:rPr>
                <w:rFonts w:ascii="Arial" w:cs="Arial" w:eastAsia="Arial" w:hAnsi="Arial"/>
                <w:sz w:val="18"/>
                <w:szCs w:val="18"/>
                <w:color w:val="auto"/>
              </w:rPr>
              <w:t>67</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1,714.8</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6"/>
              </w:rPr>
              <w:t>1,115.1</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54</w:t>
            </w:r>
          </w:p>
        </w:tc>
      </w:tr>
      <w:tr>
        <w:trPr>
          <w:trHeight w:val="20"/>
        </w:trPr>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not meaningful</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Operating expenses increased by $237.8 million and $599.7 million in the third quarter and first nine months of 2019 when compared with the same periods in 2018. The following table shows the estimated impacts of key factors resulting in the change in operating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gridSpan w:val="4"/>
          </w:tcPr>
          <w:p>
            <w:pPr>
              <w:ind w:left="74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Pr>
          <w:p>
            <w:pPr>
              <w:spacing w:after="0"/>
              <w:rPr>
                <w:sz w:val="14"/>
                <w:szCs w:val="14"/>
                <w:color w:val="auto"/>
              </w:rPr>
            </w:pPr>
          </w:p>
        </w:tc>
        <w:tc>
          <w:tcPr>
            <w:tcW w:w="2580" w:type="dxa"/>
            <w:vAlign w:val="bottom"/>
            <w:gridSpan w:val="3"/>
          </w:tcPr>
          <w:p>
            <w:pPr>
              <w:jc w:val="right"/>
              <w:ind w:right="65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654"/>
              <w:spacing w:after="0"/>
              <w:rPr>
                <w:sz w:val="20"/>
                <w:szCs w:val="20"/>
                <w:color w:val="auto"/>
              </w:rPr>
            </w:pPr>
            <w:r>
              <w:rPr>
                <w:rFonts w:ascii="Arial" w:cs="Arial" w:eastAsia="Arial" w:hAnsi="Arial"/>
                <w:sz w:val="14"/>
                <w:szCs w:val="14"/>
                <w:b w:val="1"/>
                <w:bCs w:val="1"/>
                <w:color w:val="auto"/>
              </w:rPr>
              <w:t>September 30, 2019</w:t>
            </w: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654"/>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179"/>
        </w:trPr>
        <w:tc>
          <w:tcPr>
            <w:tcW w:w="5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Amount of</w:t>
            </w: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Change as a</w:t>
            </w:r>
          </w:p>
        </w:tc>
        <w:tc>
          <w:tcPr>
            <w:tcW w:w="140" w:type="dxa"/>
            <w:vAlign w:val="bottom"/>
          </w:tcPr>
          <w:p>
            <w:pPr>
              <w:spacing w:after="0"/>
              <w:rPr>
                <w:sz w:val="15"/>
                <w:szCs w:val="15"/>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Amount of</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Change as a</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56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c>
          <w:tcPr>
            <w:tcW w:w="1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Total Expenses</w:t>
            </w:r>
          </w:p>
        </w:tc>
        <w:tc>
          <w:tcPr>
            <w:tcW w:w="14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Change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Total Expenses</w:t>
            </w:r>
          </w:p>
        </w:tc>
        <w:tc>
          <w:tcPr>
            <w:tcW w:w="0" w:type="dxa"/>
            <w:vAlign w:val="bottom"/>
          </w:tcPr>
          <w:p>
            <w:pPr>
              <w:spacing w:after="0"/>
              <w:rPr>
                <w:sz w:val="1"/>
                <w:szCs w:val="1"/>
                <w:color w:val="auto"/>
              </w:rPr>
            </w:pPr>
          </w:p>
        </w:tc>
      </w:tr>
      <w:tr>
        <w:trPr>
          <w:trHeight w:val="250"/>
        </w:trPr>
        <w:tc>
          <w:tcPr>
            <w:tcW w:w="56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benefits and employer taxes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64.4</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191.1</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165.7</w:t>
            </w:r>
          </w:p>
        </w:tc>
        <w:tc>
          <w:tcPr>
            <w:tcW w:w="220" w:type="dxa"/>
            <w:vAlign w:val="bottom"/>
          </w:tcPr>
          <w:p>
            <w:pPr>
              <w:spacing w:after="0"/>
              <w:rPr>
                <w:sz w:val="21"/>
                <w:szCs w:val="21"/>
                <w:color w:val="auto"/>
              </w:rPr>
            </w:pPr>
          </w:p>
        </w:tc>
        <w:tc>
          <w:tcPr>
            <w:tcW w:w="1480" w:type="dxa"/>
            <w:vAlign w:val="bottom"/>
          </w:tcPr>
          <w:p>
            <w:pPr>
              <w:jc w:val="right"/>
              <w:ind w:right="15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Net losses on fixed assets and assets held for sale</w:t>
            </w: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67.9</w:t>
            </w:r>
          </w:p>
        </w:tc>
        <w:tc>
          <w:tcPr>
            <w:tcW w:w="220" w:type="dxa"/>
            <w:vAlign w:val="bottom"/>
          </w:tcPr>
          <w:p>
            <w:pPr>
              <w:spacing w:after="0"/>
              <w:rPr>
                <w:sz w:val="21"/>
                <w:szCs w:val="21"/>
                <w:color w:val="auto"/>
              </w:rPr>
            </w:pPr>
          </w:p>
        </w:tc>
        <w:tc>
          <w:tcPr>
            <w:tcW w:w="1480" w:type="dxa"/>
            <w:vAlign w:val="bottom"/>
          </w:tcPr>
          <w:p>
            <w:pPr>
              <w:jc w:val="right"/>
              <w:ind w:right="15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56.1</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Occupancy and building operations</w:t>
            </w: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42.9</w:t>
            </w:r>
          </w:p>
        </w:tc>
        <w:tc>
          <w:tcPr>
            <w:tcW w:w="220" w:type="dxa"/>
            <w:vAlign w:val="bottom"/>
          </w:tcPr>
          <w:p>
            <w:pPr>
              <w:spacing w:after="0"/>
              <w:rPr>
                <w:sz w:val="21"/>
                <w:szCs w:val="21"/>
                <w:color w:val="auto"/>
              </w:rPr>
            </w:pPr>
          </w:p>
        </w:tc>
        <w:tc>
          <w:tcPr>
            <w:tcW w:w="1480" w:type="dxa"/>
            <w:vAlign w:val="bottom"/>
          </w:tcPr>
          <w:p>
            <w:pPr>
              <w:jc w:val="right"/>
              <w:ind w:right="15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18.5</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Foreign currency exchange rate fluctuation</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(62.8)</w:t>
            </w:r>
          </w:p>
        </w:tc>
        <w:tc>
          <w:tcPr>
            <w:tcW w:w="220" w:type="dxa"/>
            <w:vAlign w:val="bottom"/>
          </w:tcPr>
          <w:p>
            <w:pPr>
              <w:spacing w:after="0"/>
              <w:rPr>
                <w:sz w:val="21"/>
                <w:szCs w:val="21"/>
                <w:color w:val="auto"/>
              </w:rPr>
            </w:pP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net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47.3</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5640" w:type="dxa"/>
            <w:vAlign w:val="bottom"/>
          </w:tcPr>
          <w:p>
            <w:pPr>
              <w:ind w:left="40"/>
              <w:spacing w:after="0"/>
              <w:rPr>
                <w:sz w:val="20"/>
                <w:szCs w:val="20"/>
                <w:color w:val="auto"/>
              </w:rPr>
            </w:pPr>
            <w:r>
              <w:rPr>
                <w:rFonts w:ascii="Arial" w:cs="Arial" w:eastAsia="Arial" w:hAnsi="Arial"/>
                <w:sz w:val="18"/>
                <w:szCs w:val="18"/>
                <w:color w:val="auto"/>
              </w:rPr>
              <w:t>Total increase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67 %</w:t>
            </w:r>
          </w:p>
        </w:tc>
        <w:tc>
          <w:tcPr>
            <w:tcW w:w="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599.7</w:t>
            </w:r>
          </w:p>
        </w:tc>
        <w:tc>
          <w:tcPr>
            <w:tcW w:w="2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Increases in operating expenses in the third quarter and first nine months of 2019 when compared with the same periods in 2018 were largely attributable to our acquisition of NEX in the fourth quarter of 2018 as follows:</w:t>
      </w:r>
    </w:p>
    <w:p>
      <w:pPr>
        <w:spacing w:after="0" w:line="17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Compensation and benefits expense increased as a result of headcount added from the NEX acquisition in the fourth quarter of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Amortization of purchased intangibles related to the NEX acquisition account for the additional expense.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Technology expense, specifically hardware and software maintenance expense, was higher largely due to the addition of our NEX operations.</w:t>
      </w:r>
    </w:p>
    <w:p>
      <w:pPr>
        <w:spacing w:after="0" w:line="236" w:lineRule="exact"/>
        <w:rPr>
          <w:rFonts w:ascii="Arial" w:cs="Arial" w:eastAsia="Arial" w:hAnsi="Arial"/>
          <w:sz w:val="17"/>
          <w:szCs w:val="17"/>
          <w:color w:val="auto"/>
        </w:rPr>
      </w:pPr>
    </w:p>
    <w:p>
      <w:pPr>
        <w:ind w:left="660" w:right="2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third quarter and first nine months of 2019, we recognized higher impairment losses on certain fixed assets and net losses on assets held for sale compared to the same periods in 2018.</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Bonus expense increased compared with the same periods in 2018 largely due to the headcount added as part of the NEX acquisition.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Occupancy and building operations expense increased due to the inclusion of leases for our NEX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Professional fees and outside service expenses increased compared with the same periods in 2018, largely due to the addition of our NEX operations.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Decreases in operating expenses in the third quarter and first nine months of 2019 when compared with the same periods in 2018 were attributable to the impacts of foreign currency exchange rate fluctuations as follows:</w:t>
      </w:r>
    </w:p>
    <w:p>
      <w:pPr>
        <w:spacing w:after="0" w:line="170" w:lineRule="exact"/>
        <w:rPr>
          <w:sz w:val="20"/>
          <w:szCs w:val="20"/>
          <w:color w:val="auto"/>
        </w:rPr>
      </w:pPr>
    </w:p>
    <w:p>
      <w:pPr>
        <w:ind w:left="660" w:hanging="328"/>
        <w:spacing w:after="0" w:line="276"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the third quarter of 2018, we recognized a net loss of $15.6 million primarily due to the decline in the British pound versus U.S. dollar exchange rate on $1.6 billion of restricted cash held for the acquisition of NEX, which was denominated in British pounds, compared with a net gain of $0.7 million in the third quarter of 2019. In the first nine months of 2018, we recognized a net loss of $64.5 million, compared to a net loss of $1.7 million in the first nine months of 2019. Gains and losses from exchange rate fluctuations result when subsidiaries with a U.S. dollar functional currency hold cash as well as certain other monetary assets and liabilities denominated in foreign currencies.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Quarter Ended</w:t>
            </w: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Nine Months Ended</w:t>
            </w:r>
          </w:p>
        </w:tc>
        <w:tc>
          <w:tcPr>
            <w:tcW w:w="1240" w:type="dxa"/>
            <w:vAlign w:val="bottom"/>
          </w:tcPr>
          <w:p>
            <w:pPr>
              <w:spacing w:after="0"/>
              <w:rPr>
                <w:sz w:val="14"/>
                <w:szCs w:val="14"/>
                <w:color w:val="auto"/>
              </w:rPr>
            </w:pPr>
          </w:p>
        </w:tc>
      </w:tr>
      <w:tr>
        <w:trPr>
          <w:trHeight w:val="192"/>
        </w:trPr>
        <w:tc>
          <w:tcPr>
            <w:tcW w:w="4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September 30,</w:t>
            </w:r>
          </w:p>
        </w:tc>
        <w:tc>
          <w:tcPr>
            <w:tcW w:w="1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Pr>
          <w:p>
            <w:pPr>
              <w:spacing w:after="0"/>
              <w:rPr>
                <w:sz w:val="16"/>
                <w:szCs w:val="16"/>
                <w:color w:val="auto"/>
              </w:rPr>
            </w:pPr>
          </w:p>
        </w:tc>
      </w:tr>
      <w:tr>
        <w:trPr>
          <w:trHeight w:val="264"/>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3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12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Change</w:t>
            </w: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161.5</w:t>
            </w: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7 %</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559.8</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Interest and other borrowing costs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(45.0)</w:t>
            </w:r>
          </w:p>
        </w:tc>
        <w:tc>
          <w:tcPr>
            <w:tcW w:w="1340" w:type="dxa"/>
            <w:vAlign w:val="bottom"/>
          </w:tcPr>
          <w:p>
            <w:pPr>
              <w:jc w:val="right"/>
              <w:ind w:right="193"/>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(108.2)</w:t>
            </w: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26</w:t>
            </w:r>
          </w:p>
        </w:tc>
      </w:tr>
      <w:tr>
        <w:trPr>
          <w:trHeight w:val="27"/>
        </w:trPr>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in net earnings (losses) of unconsolidated</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subsidiaries</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w:t>
            </w:r>
          </w:p>
        </w:tc>
        <w:tc>
          <w:tcPr>
            <w:tcW w:w="13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132.3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113.6</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16</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Other non-operating income (expense)</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(141.7)</w:t>
            </w:r>
          </w:p>
        </w:tc>
        <w:tc>
          <w:tcPr>
            <w:tcW w:w="1340" w:type="dxa"/>
            <w:vAlign w:val="bottom"/>
          </w:tcPr>
          <w:p>
            <w:pPr>
              <w:jc w:val="right"/>
              <w:ind w:right="193"/>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(415.6)</w:t>
            </w: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5</w:t>
            </w:r>
          </w:p>
        </w:tc>
      </w:tr>
      <w:tr>
        <w:trPr>
          <w:trHeight w:val="27"/>
        </w:trPr>
        <w:tc>
          <w:tcPr>
            <w:tcW w:w="4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Non-Operating</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11.9</w:t>
            </w:r>
          </w:p>
        </w:tc>
        <w:tc>
          <w:tcPr>
            <w:tcW w:w="13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n.m.</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149.6</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(66)</w:t>
            </w:r>
          </w:p>
        </w:tc>
      </w:tr>
      <w:tr>
        <w:trPr>
          <w:trHeight w:val="20"/>
        </w:trPr>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not meaningful</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i w:val="1"/>
          <w:iCs w:val="1"/>
          <w:color w:val="auto"/>
        </w:rPr>
        <w:t xml:space="preserve">Investment income. </w:t>
      </w:r>
      <w:r>
        <w:rPr>
          <w:rFonts w:ascii="Arial" w:cs="Arial" w:eastAsia="Arial" w:hAnsi="Arial"/>
          <w:sz w:val="17"/>
          <w:szCs w:val="17"/>
          <w:color w:val="auto"/>
        </w:rPr>
        <w:t>Investment income increased in the third quarter of 2019 when compared with the same period in 2018, largely due to the increase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earnings from cash performance bond and guaranty fund contributions that are reinvested, which resulted primarily from higher rates of interest earned in the cash account at the Federal Reserve Bank of Chicago, as well as an increase in net realized and unrealized gains on investments.</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first nine months of 2019, investment income decreased when compared with the same period in 2018 largely due to net realized and unrealized losses on privately-held equity investments in the first nine months of 2019 compared with the same period 2018. This was partially offset by an increase in earnings from cash performance bond and guaranty fund contributions that are reinvested.</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i w:val="1"/>
          <w:iCs w:val="1"/>
          <w:color w:val="auto"/>
        </w:rPr>
        <w:t xml:space="preserve">Interest and other borrowing costs. </w:t>
      </w:r>
      <w:r>
        <w:rPr>
          <w:rFonts w:ascii="Arial" w:cs="Arial" w:eastAsia="Arial" w:hAnsi="Arial"/>
          <w:sz w:val="17"/>
          <w:szCs w:val="17"/>
          <w:color w:val="auto"/>
        </w:rPr>
        <w:t>Interest and other borrowing costs were higher in the first nine months of 2019 when compared with the same period in</w:t>
      </w:r>
      <w:r>
        <w:rPr>
          <w:rFonts w:ascii="Arial" w:cs="Arial" w:eastAsia="Arial" w:hAnsi="Arial"/>
          <w:sz w:val="17"/>
          <w:szCs w:val="17"/>
          <w:i w:val="1"/>
          <w:iCs w:val="1"/>
          <w:color w:val="auto"/>
        </w:rPr>
        <w:t xml:space="preserve"> </w:t>
      </w:r>
      <w:r>
        <w:rPr>
          <w:rFonts w:ascii="Arial" w:cs="Arial" w:eastAsia="Arial" w:hAnsi="Arial"/>
          <w:sz w:val="17"/>
          <w:szCs w:val="17"/>
          <w:color w:val="auto"/>
        </w:rPr>
        <w:t>2018 due to the issuance of $500.0 million of 3.75% fixed rate notes due June 2028 and $700.0 million of 4.15% fixed rate notes due June 2048 towards the end of the second quarter of 2018. Interest and other borrowing costs were also higher due to the assumption of the outstanding NEX debt, as well as the issuance of commercial paper, both of which occurred during the fourth quarter of 2018.</w:t>
      </w:r>
    </w:p>
    <w:p>
      <w:pPr>
        <w:spacing w:after="0" w:line="14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auto"/>
        </w:rPr>
        <w:t xml:space="preserve">Equity in net earnings (losses) of unconsolidated subsidiaries. </w:t>
      </w:r>
      <w:r>
        <w:rPr>
          <w:rFonts w:ascii="Arial" w:cs="Arial" w:eastAsia="Arial" w:hAnsi="Arial"/>
          <w:sz w:val="18"/>
          <w:szCs w:val="18"/>
          <w:color w:val="auto"/>
        </w:rPr>
        <w:t>Higher income generated from our S&amp;P/Dow Jones Indices LLC business venture contributed</w:t>
      </w:r>
      <w:r>
        <w:rPr>
          <w:rFonts w:ascii="Arial" w:cs="Arial" w:eastAsia="Arial" w:hAnsi="Arial"/>
          <w:sz w:val="18"/>
          <w:szCs w:val="18"/>
          <w:i w:val="1"/>
          <w:iCs w:val="1"/>
          <w:color w:val="auto"/>
        </w:rPr>
        <w:t xml:space="preserve"> </w:t>
      </w:r>
      <w:r>
        <w:rPr>
          <w:rFonts w:ascii="Arial" w:cs="Arial" w:eastAsia="Arial" w:hAnsi="Arial"/>
          <w:sz w:val="18"/>
          <w:szCs w:val="18"/>
          <w:color w:val="auto"/>
        </w:rPr>
        <w:t>to increases in equity in net earnings (losses) of unconsolidated subsidiaries in the third quarter and first nine months of 2019 when compared with the same periods in 2018.</w:t>
      </w:r>
    </w:p>
    <w:p>
      <w:pPr>
        <w:spacing w:after="0" w:line="127"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Other income (expense). </w:t>
      </w:r>
      <w:r>
        <w:rPr>
          <w:rFonts w:ascii="Arial" w:cs="Arial" w:eastAsia="Arial" w:hAnsi="Arial"/>
          <w:sz w:val="17"/>
          <w:szCs w:val="17"/>
          <w:color w:val="auto"/>
        </w:rPr>
        <w:t>Other expenses were relatively flat in the third quarter of 2019 and increased in the first nine months of 2019 when compared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same periods in 2018. We recognized higher expenses in the third quarter and first nine months of 2019 when compared with the same periods in 2018 related to the distribution of interest earned on performance bond collateral reinvestments to the clearing firms, as higher rates of interest were earned after the first half of 2018. This increase in expense was offset by decreases in losses related to derivative contracts in 2019.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rates for the periods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September 30</w:t>
            </w:r>
          </w:p>
        </w:tc>
        <w:tc>
          <w:tcPr>
            <w:tcW w:w="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3"/>
              </w:rPr>
              <w:t>12.0%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color w:val="auto"/>
              </w:rPr>
              <w:t>Nine months ended September 30</w:t>
            </w:r>
          </w:p>
        </w:tc>
        <w:tc>
          <w:tcPr>
            <w:tcW w:w="860" w:type="dxa"/>
            <w:vAlign w:val="bottom"/>
          </w:tcPr>
          <w:p>
            <w:pPr>
              <w:jc w:val="right"/>
              <w:ind w:right="270"/>
              <w:spacing w:after="0"/>
              <w:rPr>
                <w:sz w:val="20"/>
                <w:szCs w:val="20"/>
                <w:color w:val="auto"/>
              </w:rPr>
            </w:pPr>
            <w:r>
              <w:rPr>
                <w:rFonts w:ascii="Arial" w:cs="Arial" w:eastAsia="Arial" w:hAnsi="Arial"/>
                <w:sz w:val="18"/>
                <w:szCs w:val="18"/>
                <w:color w:val="auto"/>
                <w:w w:val="93"/>
              </w:rPr>
              <w:t>20.3%</w:t>
            </w:r>
          </w:p>
        </w:tc>
        <w:tc>
          <w:tcPr>
            <w:tcW w:w="1220" w:type="dxa"/>
            <w:vAlign w:val="bottom"/>
          </w:tcPr>
          <w:p>
            <w:pPr>
              <w:jc w:val="right"/>
              <w:spacing w:after="0"/>
              <w:rPr>
                <w:sz w:val="20"/>
                <w:szCs w:val="20"/>
                <w:color w:val="auto"/>
              </w:rPr>
            </w:pPr>
            <w:r>
              <w:rPr>
                <w:rFonts w:ascii="Arial" w:cs="Arial" w:eastAsia="Arial" w:hAnsi="Arial"/>
                <w:sz w:val="18"/>
                <w:szCs w:val="18"/>
                <w:color w:val="auto"/>
              </w:rPr>
              <w:t>25.2%</w:t>
            </w:r>
          </w:p>
        </w:tc>
      </w:tr>
    </w:tbl>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overall decreases in the effective tax rates in the third quarter and first nine months of 2019 are primarily due to the benefits recognized for the Foreign Derived Intangible Income Deduction (FDII Deduction) from serving foreign customers. Proposed FDII Deduction regulations were released in 2019 and as a result, we have revised our income tax</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calculations to reflect the proposed guidance. The benefit recognized in the third quarter of 2019 includes estimates for the deduction for 2018, as well as through the third quarter of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u w:val="single" w:color="auto"/>
          <w:color w:val="auto"/>
        </w:rPr>
        <w:t>Sources and Uses of Cash</w:t>
      </w:r>
      <w:r>
        <w:rPr>
          <w:rFonts w:ascii="Arial" w:cs="Arial" w:eastAsia="Arial" w:hAnsi="Arial"/>
          <w:sz w:val="17"/>
          <w:szCs w:val="17"/>
          <w:i w:val="1"/>
          <w:iCs w:val="1"/>
          <w:color w:val="auto"/>
        </w:rPr>
        <w:t xml:space="preserve">. </w:t>
      </w:r>
      <w:r>
        <w:rPr>
          <w:rFonts w:ascii="Arial" w:cs="Arial" w:eastAsia="Arial" w:hAnsi="Arial"/>
          <w:sz w:val="17"/>
          <w:szCs w:val="17"/>
          <w:color w:val="auto"/>
        </w:rPr>
        <w:t>Net cash provided by operating activities remained relatively flat in the first nine months of 2019 when compared with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2018. Net cash used in investing activities increased in the first nine months of 2019 when compared with the same period of 2018 due to an increase in purchases of fixed assets. Cash used in financing activities was higher in the first nine months of 2019 when compared with the same period in 2018 due to a net reduction in outstanding debt in the first nine months of 2019 compared with issuance of debt in the first nine months of 2018. The increase in cash used in financing activities was partially offset by a decrease in cash dividends.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summarizes our debt outstanding at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Par Value</w:t>
            </w:r>
          </w:p>
        </w:tc>
      </w:tr>
      <w:tr>
        <w:trPr>
          <w:trHeight w:val="270"/>
        </w:trPr>
        <w:tc>
          <w:tcPr>
            <w:tcW w:w="7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2022, stated rate of 3.00% </w:t>
            </w:r>
            <w:r>
              <w:rPr>
                <w:rFonts w:ascii="Arial" w:cs="Arial" w:eastAsia="Arial" w:hAnsi="Arial"/>
                <w:sz w:val="25"/>
                <w:szCs w:val="25"/>
                <w:color w:val="auto"/>
                <w:vertAlign w:val="superscript"/>
              </w:rPr>
              <w:t>(1)</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750.0</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Fixed rate notes due May 2023, stated rate of 4.30%</w:t>
            </w:r>
          </w:p>
        </w:tc>
        <w:tc>
          <w:tcPr>
            <w:tcW w:w="30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15.0</w:t>
            </w:r>
          </w:p>
        </w:tc>
      </w:tr>
      <w:tr>
        <w:trPr>
          <w:trHeight w:val="27"/>
        </w:trPr>
        <w:tc>
          <w:tcPr>
            <w:tcW w:w="73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March 2025, stated rate of 3.00% </w:t>
            </w:r>
            <w:r>
              <w:rPr>
                <w:rFonts w:ascii="Arial" w:cs="Arial" w:eastAsia="Arial" w:hAnsi="Arial"/>
                <w:sz w:val="25"/>
                <w:szCs w:val="25"/>
                <w:color w:val="auto"/>
                <w:vertAlign w:val="superscript"/>
              </w:rPr>
              <w:t>(2)</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750.0</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Fixed rate notes due June 2028, stated rate of 3.75%</w:t>
            </w:r>
          </w:p>
        </w:tc>
        <w:tc>
          <w:tcPr>
            <w:tcW w:w="30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500.0</w:t>
            </w:r>
          </w:p>
        </w:tc>
      </w:tr>
      <w:tr>
        <w:trPr>
          <w:trHeight w:val="27"/>
        </w:trPr>
        <w:tc>
          <w:tcPr>
            <w:tcW w:w="73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2043, stated rate of 5.30% </w:t>
            </w:r>
            <w:r>
              <w:rPr>
                <w:rFonts w:ascii="Arial" w:cs="Arial" w:eastAsia="Arial" w:hAnsi="Arial"/>
                <w:sz w:val="25"/>
                <w:szCs w:val="25"/>
                <w:color w:val="auto"/>
                <w:vertAlign w:val="superscript"/>
              </w:rPr>
              <w:t>(3)</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750.0</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Fixed rate notes due June 2048, stated rate of 4.15%</w:t>
            </w:r>
          </w:p>
        </w:tc>
        <w:tc>
          <w:tcPr>
            <w:tcW w:w="30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700.0</w:t>
            </w:r>
          </w:p>
        </w:tc>
      </w:tr>
      <w:tr>
        <w:trPr>
          <w:trHeight w:val="27"/>
        </w:trPr>
        <w:tc>
          <w:tcPr>
            <w:tcW w:w="73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3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435.0</w:t>
            </w:r>
          </w:p>
        </w:tc>
      </w:tr>
      <w:tr>
        <w:trPr>
          <w:trHeight w:val="230"/>
        </w:trPr>
        <w:tc>
          <w:tcPr>
            <w:tcW w:w="738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306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187" w:lineRule="exact"/>
        <w:rPr>
          <w:sz w:val="20"/>
          <w:szCs w:val="20"/>
          <w:color w:val="auto"/>
        </w:rPr>
      </w:pPr>
    </w:p>
    <w:p>
      <w:pPr>
        <w:ind w:left="660" w:right="2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maintained a forward-starting interest rate swap agreement that modified the interest obligation associated with these notes so that the interest payable on the notes effectively became fixed at a rate of 3.32%.</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maintained a forward-starting interest rate swap agreement that modified the interest obligation associated with these notes so that the interest payable on the notes effectively became fixed at a rate of 3.11%.</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maintained a forward-starting interest rate swap agreement that modified the interest obligation associated with these notes so that the interest payable effectively became fixed at a rate of 4.73%.</w:t>
      </w:r>
    </w:p>
    <w:p>
      <w:pPr>
        <w:spacing w:after="0" w:line="14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maintain a $2.4 billion multi-currency revolving senior credit facility with various financial institutions, which matures in November 2022. The proceeds from this facility can be used for general corporate purposes, which includes providing liquidity for our clearing house in certain circumstances at CME Group's discretion and, if necessary, for maturities of commercial paper. As long as we are not in default under this facility, we have the option to increase it up to $3.0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September 30, 2017, giving effect to share repurchases made and special dividends paid during the term of the agreements (and in no event greater than $2.0 billion in aggregate), multiplied by 0.65. We currently do not have any borrowings outstanding under this facility, but the outstanding commercial paper balance is backstopped against this facility.</w:t>
      </w:r>
    </w:p>
    <w:p>
      <w:pPr>
        <w:spacing w:after="0" w:line="1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maintain a 364-day multi-currency revolving secured credit facility with a consortium of domestic and international banks to be used in certain situations by the clearing house. The facility provides for borrowings of up to $7.0 billion.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Clearing firm guaranty fund contributions received in the form of cash or U.S. Treasury securities as well as the performance bond assets deposited by defaulting clearing members can be used to collateralize the facility. At September 30, 2019, guaranty funds available to collateralize the facility totaled $8.0 billion. We have the option to request an increase in the line from $7.0 billion to $10.0 billion. Our 364-day facility contains a requirement that CME remain in compliance with a consolidated tangible net worth test, defined as CME consolidated shareholder's equity less intangible assets (as defined in the agreement), of not less than $800.0 million. We currently do not have any borrowings outstanding under this facility. On May 1, 2019, we amended and extended the agreement, which will expire on April 29, 2020.</w:t>
      </w:r>
    </w:p>
    <w:p>
      <w:pPr>
        <w:spacing w:after="0" w:line="15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indentures governing our fixed rate notes, our $2.4 billion multi-currency revolving senior credit facility and our 364-day multi-currency revolving secured credit facility for $7.0 billion do not contain specific covenants that restrict the ability to pay</w:t>
      </w:r>
    </w:p>
    <w:p>
      <w:pPr>
        <w:sectPr>
          <w:pgSz w:w="11900" w:h="16838" w:orient="portrait"/>
          <w:cols w:equalWidth="0" w:num="1">
            <w:col w:w="11380"/>
          </w:cols>
          <w:pgMar w:left="240" w:top="125" w:right="279" w:bottom="1440" w:gutter="0" w:footer="0" w:header="0"/>
        </w:sect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80"/>
          </w:cols>
          <w:pgMar w:left="240" w:top="125" w:right="27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dividends. These documents, however, do contain other customary financial and operating covenants that place restrictions on the operations of the company that could indirectly affect the ability to pay dividends.</w:t>
      </w:r>
    </w:p>
    <w:p>
      <w:pPr>
        <w:spacing w:after="0" w:line="1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September 30, 2019, we have excess borrowing capacity for general corporate purposes of approximately $1.9 billion under our multi-currency revolving senior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2019, we were in compliance with the various financial covenant requirements of all our debt facilities.</w:t>
      </w:r>
    </w:p>
    <w:p>
      <w:pPr>
        <w:spacing w:after="0" w:line="1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the funds which it uses to pay dividends to its shareholders.</w:t>
      </w:r>
    </w:p>
    <w:p>
      <w:pPr>
        <w:spacing w:after="0" w:line="11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To satisfy our performance bond obligation with Singapore Exchange Limited, we may pledge CME-owned U.S. Treasury securities in lieu of, or in combination with, irrevocable standby letters of credit. At September 30, 2019, the letters of credit totaled $310.0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at September 30, 2019:</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3580" w:type="dxa"/>
            <w:vAlign w:val="bottom"/>
          </w:tcPr>
          <w:p>
            <w:pPr>
              <w:ind w:left="2300"/>
              <w:spacing w:after="0"/>
              <w:rPr>
                <w:sz w:val="20"/>
                <w:szCs w:val="20"/>
                <w:color w:val="auto"/>
              </w:rPr>
            </w:pPr>
            <w:r>
              <w:rPr>
                <w:rFonts w:ascii="Arial" w:cs="Arial" w:eastAsia="Arial" w:hAnsi="Arial"/>
                <w:sz w:val="14"/>
                <w:szCs w:val="14"/>
                <w:b w:val="1"/>
                <w:bCs w:val="1"/>
                <w:color w:val="auto"/>
              </w:rPr>
              <w:t>Short-Term</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700" w:type="dxa"/>
            <w:vAlign w:val="bottom"/>
          </w:tcPr>
          <w:p>
            <w:pPr>
              <w:spacing w:after="0"/>
              <w:rPr>
                <w:sz w:val="16"/>
                <w:szCs w:val="16"/>
                <w:color w:val="auto"/>
              </w:rPr>
            </w:pPr>
          </w:p>
        </w:tc>
      </w:tr>
      <w:tr>
        <w:trPr>
          <w:trHeight w:val="209"/>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Rating Agency</w:t>
            </w:r>
          </w:p>
        </w:tc>
        <w:tc>
          <w:tcPr>
            <w:tcW w:w="358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Debt Rating</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Debt Rating</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3580" w:type="dxa"/>
            <w:vAlign w:val="bottom"/>
            <w:tcBorders>
              <w:bottom w:val="single" w:sz="8" w:color="CCEEFF"/>
            </w:tcBorders>
            <w:shd w:val="clear" w:color="auto" w:fill="CCEEFF"/>
          </w:tcPr>
          <w:p>
            <w:pPr>
              <w:jc w:val="center"/>
              <w:ind w:left="1659"/>
              <w:spacing w:after="0"/>
              <w:rPr>
                <w:sz w:val="20"/>
                <w:szCs w:val="20"/>
                <w:color w:val="auto"/>
              </w:rPr>
            </w:pPr>
            <w:r>
              <w:rPr>
                <w:rFonts w:ascii="Arial" w:cs="Arial" w:eastAsia="Arial" w:hAnsi="Arial"/>
                <w:sz w:val="18"/>
                <w:szCs w:val="18"/>
                <w:color w:val="auto"/>
                <w:w w:val="98"/>
              </w:rPr>
              <w:t>A1+</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Moody’s Investors Service</w:t>
            </w:r>
          </w:p>
        </w:tc>
        <w:tc>
          <w:tcPr>
            <w:tcW w:w="3580" w:type="dxa"/>
            <w:vAlign w:val="bottom"/>
          </w:tcPr>
          <w:p>
            <w:pPr>
              <w:jc w:val="center"/>
              <w:ind w:left="1659"/>
              <w:spacing w:after="0"/>
              <w:rPr>
                <w:sz w:val="20"/>
                <w:szCs w:val="20"/>
                <w:color w:val="auto"/>
              </w:rPr>
            </w:pPr>
            <w:r>
              <w:rPr>
                <w:rFonts w:ascii="Arial" w:cs="Arial" w:eastAsia="Arial" w:hAnsi="Arial"/>
                <w:sz w:val="18"/>
                <w:szCs w:val="18"/>
                <w:color w:val="auto"/>
                <w:w w:val="90"/>
              </w:rPr>
              <w:t>P1</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Stable</w:t>
            </w:r>
          </w:p>
        </w:tc>
      </w:tr>
    </w:tbl>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fixed rate notes at a price equal to 101% of the principal amount, plus accrued and unpaid interest.</w:t>
      </w:r>
    </w:p>
    <w:p>
      <w:pPr>
        <w:spacing w:after="0" w:line="15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u w:val="single" w:color="auto"/>
          <w:color w:val="auto"/>
        </w:rPr>
        <w:t>Liquidity and Cash Management</w:t>
      </w:r>
      <w:r>
        <w:rPr>
          <w:rFonts w:ascii="Arial" w:cs="Arial" w:eastAsia="Arial" w:hAnsi="Arial"/>
          <w:sz w:val="16"/>
          <w:szCs w:val="16"/>
          <w:color w:val="auto"/>
        </w:rPr>
        <w:t>. Cash and cash equivalents totaled $1.2 billion and $1.4 billion at September 30, 2019 and December 31, 2018,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The balance 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 Treasury securities, U.S. government agency securities and U.S. Treasury security reverse repurchase agreements.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u w:val="single" w:color="auto"/>
          <w:color w:val="auto"/>
        </w:rPr>
        <w:t>Regulatory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CME is regulated by the CFTC as a U.S. Derivatives Clearing Organization (DCO). DCOs are required to maintain capital,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financial market utility under Title VIII of Dodd-Frank. As a result, CME must comply with CFTC regulations applicable to a systemically important DCO for financial resources and liquidity resources. CME is in compliance with all DCO financial requirements.</w:t>
      </w:r>
    </w:p>
    <w:p>
      <w:pPr>
        <w:spacing w:after="0" w:line="16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3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BrokerTec Americas LLC is required to maintain sufficient net capital under Securities Exchange Act Rule 15c3-1 (the Net Capital Rule). The Net Capital Rule focuses on liquidity and is designed to protect securities customers, counterparties, and creditors by requiring that broker-dealers have sufficient liquid resources on hand at all times to satisfy claims promptly. Rule 15c3-3, or the customer protection rule, which complements rule 15c3-1, is designed to ensure that customer property (securities and funds) in the custody of broker-dealers is adequately safeguarded. By law, both of these rules apply to the activities of registered broker-dealers, but not to unregistered affiliates. The firm began operating as a (k)(2)(i) broker dealer in November 2017 following notification to the Financial Industry Regulatory Authority and the SEC. A company operating under the (k)(2)(i) exemption is not required to lock up customer funds as would otherwise be required under Rule 15c3-3 of the Securities Exchange Act.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Refer to Note 2. Accounting Policies in our notes to the consolidated financial statements for information on newly issued and recently adopted accounting pronouncements that are applicable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2018. Refer to Item 7A. of CME Group’s Annual Report on Form 10-K for the year ended December 31, 2018 for additional information.</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48" w:lineRule="exact"/>
        <w:rPr>
          <w:sz w:val="20"/>
          <w:szCs w:val="20"/>
          <w:color w:val="auto"/>
        </w:rPr>
      </w:pPr>
    </w:p>
    <w:p>
      <w:pPr>
        <w:jc w:val="both"/>
        <w:ind w:firstLine="8"/>
        <w:spacing w:after="0" w:line="279" w:lineRule="auto"/>
        <w:tabs>
          <w:tab w:leader="none" w:pos="245"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71" w:lineRule="exact"/>
        <w:rPr>
          <w:rFonts w:ascii="Arial" w:cs="Arial" w:eastAsia="Arial" w:hAnsi="Arial"/>
          <w:sz w:val="17"/>
          <w:szCs w:val="17"/>
          <w:color w:val="auto"/>
        </w:rPr>
      </w:pPr>
    </w:p>
    <w:p>
      <w:pPr>
        <w:ind w:right="20" w:firstLine="8"/>
        <w:spacing w:after="0" w:line="290" w:lineRule="auto"/>
        <w:tabs>
          <w:tab w:leader="none" w:pos="2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During the fourth quarter of 2018, we acquired NEX and are in the process of integrating the acquired business into our overall internal control over financial reporting process. As permitted under applicable regulations, we have excluded NEX from the assessment of internal control over financial reporting as of September 30, 2019. There were no other changes in the company’s internal control over financial reporting which occurred during the fiscal quarter ended September 30, 2019, that have materially affected, or are reasonably likely to materially affect, the company’s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See “Legal and Regulatory Matters” in Note 7. Contingencies to the Consolidated Financial Statements for updates to CME Group’s existing legal proceedings disclosure which is incorporated herein by reference. Note 7. Contingencies includes updates to the legal proceedings disclosed in the company’s Annual Report on Form 10-K, filed with the SEC on February 28, 2019.</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There have been no material updates to the Risk Factors disclosure included in the company’s Annual Report on Form 10-K, filed with the SEC on February 28, 2019. In addition to the other information contained in this Quarterly Report on Form 10-Q, you should carefully consider the factors discussed in our Annual Report on Form 10-K,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 in the future.</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(c) Total Number of Class A</w:t>
            </w:r>
          </w:p>
        </w:tc>
        <w:tc>
          <w:tcPr>
            <w:tcW w:w="228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(d) Maximum Number (or</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 Total Number of</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Approximate Value) that</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w w:val="95"/>
              </w:rPr>
              <w:t>(b) Average Price</w:t>
            </w: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22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Class A</w:t>
            </w:r>
          </w:p>
        </w:tc>
        <w:tc>
          <w:tcPr>
            <w:tcW w:w="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Part of Publicly Announced</w:t>
            </w: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 Purchased (1)</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Paid Per Share</w:t>
            </w:r>
          </w:p>
        </w:tc>
        <w:tc>
          <w:tcPr>
            <w:tcW w:w="2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Plans or Programs</w:t>
            </w:r>
          </w:p>
        </w:tc>
        <w:tc>
          <w:tcPr>
            <w:tcW w:w="22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to July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200.86</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   $</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August 1 to August 31</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1"/>
                <w:szCs w:val="21"/>
                <w:color w:val="auto"/>
              </w:rPr>
            </w:pP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215.69</w:t>
            </w:r>
          </w:p>
        </w:tc>
        <w:tc>
          <w:tcPr>
            <w:tcW w:w="238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280" w:type="dxa"/>
            <w:vAlign w:val="bottom"/>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 to September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112,458</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205.81</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112,655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205.80</w:t>
            </w:r>
          </w:p>
        </w:tc>
        <w:tc>
          <w:tcPr>
            <w:tcW w:w="2040" w:type="dxa"/>
            <w:vAlign w:val="bottom"/>
            <w:tcBorders>
              <w:top w:val="single" w:sz="8" w:color="auto"/>
              <w:bottom w:val="single" w:sz="8" w:color="auto"/>
            </w:tcBorders>
          </w:tcPr>
          <w:p>
            <w:pPr>
              <w:ind w:left="1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purchased consist of an aggregate of 112,655 shares of Class A common stock surrendered in the third quarter of 2019 to satisfy employees’ tax obligations upon the vesting of restricted stock.</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40" w:type="dxa"/>
            <w:vAlign w:val="bottom"/>
            <w:gridSpan w:val="5"/>
          </w:tcPr>
          <w:p>
            <w:pPr>
              <w:ind w:left="300"/>
              <w:spacing w:after="0"/>
              <w:rPr>
                <w:sz w:val="20"/>
                <w:szCs w:val="20"/>
                <w:color w:val="auto"/>
              </w:rPr>
            </w:pPr>
            <w:r>
              <w:rPr>
                <w:rFonts w:ascii="Arial" w:cs="Arial" w:eastAsia="Arial" w:hAnsi="Arial"/>
                <w:sz w:val="18"/>
                <w:szCs w:val="18"/>
                <w:b w:val="1"/>
                <w:bCs w:val="1"/>
                <w:color w:val="auto"/>
              </w:rPr>
              <w:t>EXHIBITS</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640" w:type="dxa"/>
            <w:vAlign w:val="bottom"/>
          </w:tcPr>
          <w:p>
            <w:pPr>
              <w:spacing w:after="0"/>
              <w:rPr>
                <w:sz w:val="24"/>
                <w:szCs w:val="24"/>
                <w:color w:val="auto"/>
              </w:rPr>
            </w:pPr>
          </w:p>
        </w:tc>
        <w:tc>
          <w:tcPr>
            <w:tcW w:w="33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3"/>
              </w:rPr>
              <w:t>Section 302 Certification—Terrence A. Duffy</w:t>
            </w:r>
          </w:p>
        </w:tc>
        <w:tc>
          <w:tcPr>
            <w:tcW w:w="6380" w:type="dxa"/>
            <w:vAlign w:val="bottom"/>
            <w:gridSpan w:val="2"/>
          </w:tcPr>
          <w:p>
            <w:pPr>
              <w:spacing w:after="0"/>
              <w:rPr>
                <w:sz w:val="24"/>
                <w:szCs w:val="24"/>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640" w:type="dxa"/>
            <w:vAlign w:val="bottom"/>
          </w:tcPr>
          <w:p>
            <w:pPr>
              <w:spacing w:after="0"/>
              <w:rPr>
                <w:sz w:val="24"/>
                <w:szCs w:val="24"/>
                <w:color w:val="auto"/>
              </w:rPr>
            </w:pPr>
          </w:p>
        </w:tc>
        <w:tc>
          <w:tcPr>
            <w:tcW w:w="9700" w:type="dxa"/>
            <w:vAlign w:val="bottom"/>
            <w:gridSpan w:val="4"/>
          </w:tcPr>
          <w:p>
            <w:pPr>
              <w:spacing w:after="0"/>
              <w:rPr>
                <w:sz w:val="20"/>
                <w:szCs w:val="20"/>
                <w:color w:val="auto"/>
              </w:rPr>
            </w:pPr>
            <w:r>
              <w:rPr>
                <w:rFonts w:ascii="Arial" w:cs="Arial" w:eastAsia="Arial" w:hAnsi="Arial"/>
                <w:sz w:val="18"/>
                <w:szCs w:val="18"/>
                <w:color w:val="0000FF"/>
              </w:rPr>
              <w:t>Section 302 Certification—John W. Pietrowicz</w:t>
            </w: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640" w:type="dxa"/>
            <w:vAlign w:val="bottom"/>
          </w:tcPr>
          <w:p>
            <w:pPr>
              <w:spacing w:after="0"/>
              <w:rPr>
                <w:sz w:val="24"/>
                <w:szCs w:val="24"/>
                <w:color w:val="auto"/>
              </w:rPr>
            </w:pPr>
          </w:p>
        </w:tc>
        <w:tc>
          <w:tcPr>
            <w:tcW w:w="18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2"/>
              </w:rPr>
              <w:t>Section 906 Certification</w:t>
            </w:r>
          </w:p>
        </w:tc>
        <w:tc>
          <w:tcPr>
            <w:tcW w:w="1560" w:type="dxa"/>
            <w:vAlign w:val="bottom"/>
            <w:tcBorders>
              <w:top w:val="single" w:sz="8" w:color="0000FF"/>
            </w:tcBorders>
            <w:gridSpan w:val="2"/>
          </w:tcPr>
          <w:p>
            <w:pPr>
              <w:spacing w:after="0"/>
              <w:rPr>
                <w:sz w:val="24"/>
                <w:szCs w:val="24"/>
                <w:color w:val="auto"/>
              </w:rPr>
            </w:pPr>
          </w:p>
        </w:tc>
        <w:tc>
          <w:tcPr>
            <w:tcW w:w="6320" w:type="dxa"/>
            <w:vAlign w:val="bottom"/>
          </w:tcPr>
          <w:p>
            <w:pPr>
              <w:spacing w:after="0"/>
              <w:rPr>
                <w:sz w:val="24"/>
                <w:szCs w:val="24"/>
                <w:color w:val="auto"/>
              </w:rPr>
            </w:pPr>
          </w:p>
        </w:tc>
      </w:tr>
      <w:tr>
        <w:trPr>
          <w:trHeight w:val="438"/>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640" w:type="dxa"/>
            <w:vAlign w:val="bottom"/>
          </w:tcPr>
          <w:p>
            <w:pPr>
              <w:spacing w:after="0"/>
              <w:rPr>
                <w:sz w:val="24"/>
                <w:szCs w:val="24"/>
                <w:color w:val="auto"/>
              </w:rPr>
            </w:pPr>
          </w:p>
        </w:tc>
        <w:tc>
          <w:tcPr>
            <w:tcW w:w="9700" w:type="dxa"/>
            <w:vAlign w:val="bottom"/>
            <w:gridSpan w:val="4"/>
          </w:tcPr>
          <w:p>
            <w:pPr>
              <w:spacing w:after="0"/>
              <w:rPr>
                <w:sz w:val="20"/>
                <w:szCs w:val="20"/>
                <w:color w:val="auto"/>
              </w:rPr>
            </w:pPr>
            <w:r>
              <w:rPr>
                <w:rFonts w:ascii="Arial" w:cs="Arial" w:eastAsia="Arial" w:hAnsi="Arial"/>
                <w:sz w:val="18"/>
                <w:szCs w:val="18"/>
                <w:color w:val="auto"/>
                <w:w w:val="91"/>
              </w:rPr>
              <w:t>The following materials from CME Group Inc.’s Quarterly Report on Form 10-Q for the quarter ended September 30, 2019, formatted</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700" w:type="dxa"/>
            <w:vAlign w:val="bottom"/>
            <w:gridSpan w:val="4"/>
          </w:tcPr>
          <w:p>
            <w:pPr>
              <w:spacing w:after="0"/>
              <w:rPr>
                <w:sz w:val="20"/>
                <w:szCs w:val="20"/>
                <w:color w:val="auto"/>
              </w:rPr>
            </w:pPr>
            <w:r>
              <w:rPr>
                <w:rFonts w:ascii="Arial" w:cs="Arial" w:eastAsia="Arial" w:hAnsi="Arial"/>
                <w:sz w:val="18"/>
                <w:szCs w:val="18"/>
                <w:color w:val="auto"/>
                <w:w w:val="92"/>
              </w:rPr>
              <w:t>in Inline XBRL (Extensible Business Reporting Language): (i) the Consolidated Balance Sheets, (ii) the Consolidated Statements of</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700" w:type="dxa"/>
            <w:vAlign w:val="bottom"/>
            <w:gridSpan w:val="4"/>
          </w:tcPr>
          <w:p>
            <w:pPr>
              <w:spacing w:after="0"/>
              <w:rPr>
                <w:sz w:val="20"/>
                <w:szCs w:val="20"/>
                <w:color w:val="auto"/>
              </w:rPr>
            </w:pPr>
            <w:r>
              <w:rPr>
                <w:rFonts w:ascii="Arial" w:cs="Arial" w:eastAsia="Arial" w:hAnsi="Arial"/>
                <w:sz w:val="18"/>
                <w:szCs w:val="18"/>
                <w:color w:val="auto"/>
                <w:w w:val="93"/>
              </w:rPr>
              <w:t>Income, (iii) the Consolidated Statements of Comprehensive Income, (iv) the Consolidated Statements of Equity, (v) Consolidated</w:t>
            </w:r>
          </w:p>
        </w:tc>
      </w:tr>
      <w:tr>
        <w:trPr>
          <w:trHeight w:val="230"/>
        </w:trPr>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700" w:type="dxa"/>
            <w:vAlign w:val="bottom"/>
            <w:gridSpan w:val="4"/>
          </w:tcPr>
          <w:p>
            <w:pPr>
              <w:spacing w:after="0"/>
              <w:rPr>
                <w:sz w:val="20"/>
                <w:szCs w:val="20"/>
                <w:color w:val="auto"/>
              </w:rPr>
            </w:pPr>
            <w:r>
              <w:rPr>
                <w:rFonts w:ascii="Arial" w:cs="Arial" w:eastAsia="Arial" w:hAnsi="Arial"/>
                <w:sz w:val="18"/>
                <w:szCs w:val="18"/>
                <w:color w:val="auto"/>
              </w:rPr>
              <w:t>Statements of Cash Flows and (vi) Notes to Unaudited Consolidated Financial Statements, tagged as blocks of text.</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rPr>
                <w:sz w:val="24"/>
                <w:szCs w:val="24"/>
                <w:color w:val="auto"/>
              </w:rPr>
            </w:pPr>
          </w:p>
        </w:tc>
        <w:tc>
          <w:tcPr>
            <w:tcW w:w="9700" w:type="dxa"/>
            <w:vAlign w:val="bottom"/>
            <w:gridSpan w:val="4"/>
          </w:tcPr>
          <w:p>
            <w:pPr>
              <w:spacing w:after="0"/>
              <w:rPr>
                <w:sz w:val="20"/>
                <w:szCs w:val="20"/>
                <w:color w:val="auto"/>
              </w:rPr>
            </w:pPr>
            <w:r>
              <w:rPr>
                <w:rFonts w:ascii="Arial" w:cs="Arial" w:eastAsia="Arial" w:hAnsi="Arial"/>
                <w:sz w:val="18"/>
                <w:szCs w:val="18"/>
                <w:color w:val="auto"/>
                <w:w w:val="91"/>
              </w:rPr>
              <w:t>The cover page from CME Group Inc.'s Quarterly Report on Form 10-Q for the quarter ended September 30, 2019, formatted in Inline</w:t>
            </w:r>
          </w:p>
        </w:tc>
      </w:tr>
      <w:tr>
        <w:trPr>
          <w:trHeight w:val="230"/>
        </w:trPr>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700" w:type="dxa"/>
            <w:vAlign w:val="bottom"/>
            <w:gridSpan w:val="4"/>
          </w:tcPr>
          <w:p>
            <w:pPr>
              <w:spacing w:after="0"/>
              <w:rPr>
                <w:sz w:val="20"/>
                <w:szCs w:val="20"/>
                <w:color w:val="auto"/>
              </w:rPr>
            </w:pPr>
            <w:r>
              <w:rPr>
                <w:rFonts w:ascii="Arial" w:cs="Arial" w:eastAsia="Arial" w:hAnsi="Arial"/>
                <w:sz w:val="18"/>
                <w:szCs w:val="18"/>
                <w:color w:val="auto"/>
              </w:rPr>
              <w:t>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CME Group Inc.</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160" w:val="left"/>
          <w:tab w:leader="none" w:pos="7920" w:val="left"/>
        </w:tabs>
        <w:rPr>
          <w:sz w:val="20"/>
          <w:szCs w:val="20"/>
          <w:color w:val="auto"/>
        </w:rPr>
      </w:pPr>
      <w:r>
        <w:rPr>
          <w:rFonts w:ascii="Arial" w:cs="Arial" w:eastAsia="Arial" w:hAnsi="Arial"/>
          <w:sz w:val="18"/>
          <w:szCs w:val="18"/>
          <w:color w:val="auto"/>
        </w:rPr>
        <w:t>Dated: November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 &amp; Senior Managing</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Director Finance</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125" w:right="4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Terrence A. Duffy, certify that:</w:t>
      </w:r>
    </w:p>
    <w:p>
      <w:pPr>
        <w:spacing w:after="0" w:line="171" w:lineRule="exact"/>
        <w:rPr>
          <w:sz w:val="20"/>
          <w:szCs w:val="20"/>
          <w:color w:val="auto"/>
        </w:rPr>
      </w:pPr>
    </w:p>
    <w:p>
      <w:pPr>
        <w:ind w:left="840" w:hanging="18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Dated: November 6, 2019</w:t>
      </w:r>
      <w:r>
        <w:rPr>
          <w:sz w:val="20"/>
          <w:szCs w:val="20"/>
          <w:color w:val="auto"/>
        </w:rPr>
        <w:tab/>
      </w:r>
      <w:r>
        <w:rPr>
          <w:rFonts w:ascii="Arial" w:cs="Arial" w:eastAsia="Arial" w:hAnsi="Arial"/>
          <w:sz w:val="16"/>
          <w:szCs w:val="16"/>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Terrence A. Duffy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66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W. Pietrowicz, certify that:</w:t>
      </w:r>
    </w:p>
    <w:p>
      <w:pPr>
        <w:spacing w:after="0" w:line="171" w:lineRule="exact"/>
        <w:rPr>
          <w:sz w:val="20"/>
          <w:szCs w:val="20"/>
          <w:color w:val="auto"/>
        </w:rPr>
      </w:pPr>
    </w:p>
    <w:p>
      <w:pPr>
        <w:ind w:left="840" w:hanging="18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Dated: November 6, 2019</w:t>
      </w:r>
      <w:r>
        <w:rPr>
          <w:sz w:val="20"/>
          <w:szCs w:val="20"/>
          <w:color w:val="auto"/>
        </w:rPr>
        <w:tab/>
      </w:r>
      <w:r>
        <w:rPr>
          <w:rFonts w:ascii="Arial" w:cs="Arial" w:eastAsia="Arial" w:hAnsi="Arial"/>
          <w:sz w:val="16"/>
          <w:szCs w:val="16"/>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John W. Pietrowicz</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66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September 30, 2019 as filed with the Securities and Exchange Commission on the date hereof (the “Report”), Terrence A. Duffy, as Chief Executive Officer of the Company, and John W. Pietrowicz, as Chief Financial Officer of the Company, each hereby certifies, pursuant to 18 U.S.C. § 1350, as adopted pursuant to § 906 of the Sarbanes-Oxley Act of 2002, that, to the best of his knowledge:</w:t>
      </w:r>
    </w:p>
    <w:p>
      <w:pPr>
        <w:spacing w:after="0" w:line="133" w:lineRule="exact"/>
        <w:rPr>
          <w:sz w:val="20"/>
          <w:szCs w:val="20"/>
          <w:color w:val="auto"/>
        </w:rPr>
      </w:pPr>
    </w:p>
    <w:p>
      <w:pPr>
        <w:ind w:left="1560" w:hanging="255"/>
        <w:spacing w:after="0"/>
        <w:tabs>
          <w:tab w:leader="none" w:pos="1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560" w:hanging="255"/>
        <w:spacing w:after="0"/>
        <w:tabs>
          <w:tab w:leader="none" w:pos="1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Terrence A. Duffy</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John W. Pietrowicz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2019</w:t>
      </w:r>
    </w:p>
    <w:p>
      <w:pPr>
        <w:spacing w:after="0" w:line="171"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9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decimal"/>
      <w:start w:val="5"/>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decimal"/>
      <w:start w:val="5"/>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2019-12-28T02:29:37Z</dcterms:created>
  <dcterms:modified xsi:type="dcterms:W3CDTF">2019-12-28T02:29:37Z</dcterms:modified>
</cp:coreProperties>
</file>