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756.xml.htm"/>
      <w:bookmarkStart w:id="1" w:name="kswkform4_17896767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Sammann Derek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S. WACKER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CME GROUP INC.</w:t>
              </w:r>
            </w:hyperlink>
            <w:r>
              <w:rPr/>
              <w:t xml:space="preserve"> [ </w:t>
            </w:r>
            <w:r>
              <w:rPr>
                <w:rFonts w:ascii="Times;serif" w:hAnsi="Times;serif"/>
                <w:color w:val="0000FF"/>
                <w:sz w:val="24"/>
                <w:shd w:fill="FFFFFF" w:val="clear"/>
              </w:rPr>
              <w:t>CME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MD Gl Hd Commodities Mkts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575"/>
        <w:gridCol w:w="374"/>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11,547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11,174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10,813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10,493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272.46</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7,022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change in the form of beneficial ownership from direct to indirect ownership via transfer to the Reporting Person's revocable living trust. This transaction is exempt from Section 16 pursuant to Rule 16a-13 under the Securities Exchange Act of 1934.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grant of restricted stock under the CME Group Omnibus Stock Plan, vesting in four equal annual installments,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surrendered to the Issuer to satisfy tax withholding obligations in connection with the vesting of restricted stock previously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Hensen, as Attorney-in-Fact for Derrek Sammann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05-poaxsammann.htm"/>
      <w:bookmarkStart w:id="3" w:name="ksa202605poaxsammann"/>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EDGAR Administration and Executing Forms 3, 4 and 5 Pursuant to Section 16(a) of the Securities Exchange Act Know all by these presents, that the undersigned hereby constitutes and appoints each of Margaret Austin Wright and Elizabeth Hensen and any duly appointed Corporate Secretary of CME Group, Inc. (the “Company”), with full power of substitution and re-substitution, acting individually, as the undersigned’s true and lawful attorney-in-fact, with full power and authority as hereinafter described on behalf of and in the name, place and stead of the undersigned to: 1.​ obtain credentials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 2.​ 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 3.​ cause the Company to accept a delegation of authority from the undersigned’s EDGAR account administrators and authorize the Company’s EDGAR account administrators pursuant to that delegated entity designation to appoint, remove or replace users for the undersigned’s EDGAR account, 4.​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5.​ execute for and on behalf of the undersigned Forms 3, 4 and 5 and amendments thereto relating to the Company in accordance with Section 16(a) of the Exchange Act and the rules thereunder, 6.​ do and perform any and all acts for, and on behalf of, the undersigned which may be necessary or desirable to prepare, complete and execute any such Form 3, 4 and 5, and any amendments thereto, and timely file such form with the SEC and any other authority as considered necessary or advisable under Section 16(a) of the Exchange Act and the rules thereunder,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 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each such attorney-in-fact is serving in such capacity at the request of the undersigned. This Power of Attorney does not relieve the undersigned from responsibility for compliance with the undersigned’s obligations under the Exchange Act, including, without limitation, the reporting requirements under Section 16 of the Exchange Act. Neither the Company nor any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6th day of May 2026. ​ By: /s/ Derek Sammann​ ​ Name: Derek Sammann​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5318" TargetMode="External"/><Relationship Id="rId5" Type="http://schemas.openxmlformats.org/officeDocument/2006/relationships/hyperlink" Target="http://www.sec.gov/cgi-bin/browse-edgar?action=getcompany&amp;CIK=0001156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836</Words>
  <Characters>4441</Characters>
  <CharactersWithSpaces>10001</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a202605-poaxsammann</dc:title>
</cp:coreProperties>
</file>