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810.xml.htm"/>
      <w:bookmarkStart w:id="1" w:name="kswkform4_17896768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Sprague Suzanne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SOUTH WACKER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CME GROUP INC.</w:t>
              </w:r>
            </w:hyperlink>
            <w:r>
              <w:rPr/>
              <w:t xml:space="preserve"> [ </w:t>
            </w:r>
            <w:r>
              <w:rPr>
                <w:rFonts w:ascii="Times;serif" w:hAnsi="Times;serif"/>
                <w:color w:val="0000FF"/>
                <w:sz w:val="24"/>
                <w:shd w:fill="FFFFFF" w:val="clear"/>
              </w:rPr>
              <w:t>CME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 &amp; Global Head of Clearing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16,451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16,176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15,856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15,548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under the CME Group Omnibus Stock Plan, vesting in four equal annual installments,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surrendered to the Issuer to satisfy tax withholding obligations in connection with the vesting of restricted stock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Hensen, as Attorney-in-Fact for Suzanne Sprague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05-poaxsprague.htm"/>
      <w:bookmarkStart w:id="3" w:name="ksa202605poaxsprague"/>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EDGAR Administration and Executing Forms 3, 4 and 5 Pursuant to Section 16(a) of the Securities Exchange Act Know all by these presents, that the undersigned hereby constitutes and appoints each of Margaret Austin Wright and Elizabeth Hensen and any duly appointed Corporate Secretary of CME Group, Inc. (the “Company”), with full power of substitution and re-substitution, acting individually, as the undersigned’s true and lawful attorney-in-fact, with full power and authority as hereinafter described on behalf of and in the name, place and stead of the undersigned to: 1.​ obtain credentials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 2.​ 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 3.​ cause the Company to accept a delegation of authority from the undersigned’s EDGAR account administrators and authorize the Company’s EDGAR account administrators pursuant to that delegated entity designation to appoint, remove or replace users for the undersigned’s EDGAR account, 4.​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5.​ execute for and on behalf of the undersigned Forms 3, 4 and 5 and amendments thereto relating to the Company in accordance with Section 16(a) of the Exchange Act and the rules thereunder, 6.​ do and perform any and all acts for, and on behalf of, the undersigned which may be necessary or desirable to prepare, complete and execute any such Form 3, 4 and 5, and any amendments thereto, and timely file such form with the SEC and any other authority as considered necessary or advisable under Section 16(a) of the Exchange Act and the rules thereunder,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 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each such attorney-in-fact is serving in such capacity at the request of the undersigned. This Power of Attorney does not relieve the undersigned from responsibility for compliance with the undersigned’s obligations under the Exchange Act, including, without limitation, the reporting requirements under Section 16 of the Exchange Act. Neither the Company nor any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6th day of May 2026. ​ By: /s/ Suzanne Sprague​ ​ Name: Suzanne Sprague​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4409" TargetMode="External"/><Relationship Id="rId5" Type="http://schemas.openxmlformats.org/officeDocument/2006/relationships/hyperlink" Target="http://www.sec.gov/cgi-bin/browse-edgar?action=getcompany&amp;CIK=0001156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760</Words>
  <Characters>4095</Characters>
  <CharactersWithSpaces>9607</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a202605-poaxsprague</dc:title>
</cp:coreProperties>
</file>