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pPr>
      <w:r>
        <w:rPr>
          <w:rFonts w:ascii="Times New Roman;serif" w:hAnsi="Times New Roman;serif"/>
          <w:b/>
          <w:color w:val="000000"/>
          <w:sz w:val="24"/>
        </w:rPr>
        <w:t>WASHINGTON, D.C. 20549</w:t>
      </w:r>
      <w:r>
        <w:rPr>
          <w:color w:val="000000"/>
        </w:rPr>
        <w:t> </w:t>
      </w:r>
    </w:p>
    <w:p>
      <w:pPr>
        <w:pStyle w:val="TextBody"/>
        <w:bidi w:val="0"/>
        <w:spacing w:lineRule="auto" w:line="288" w:before="60" w:after="283"/>
        <w:jc w:val="center"/>
        <w:rPr>
          <w:rFonts w:ascii="Times New Roman;serif" w:hAnsi="Times New Roman;serif"/>
          <w:b w:val="false"/>
          <w:color w:val="000000"/>
          <w:sz w:val="14"/>
        </w:rPr>
      </w:pPr>
      <w:r>
        <w:rPr>
          <w:rFonts w:ascii="Times New Roman;serif" w:hAnsi="Times New Roman;serif"/>
          <w:b w:val="false"/>
          <w:color w:val="000000"/>
          <w:sz w:val="14"/>
        </w:rPr>
        <w:t>_________________________________________________________</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left"/>
        <w:rPr>
          <w:color w:val="000000"/>
        </w:rPr>
      </w:pPr>
      <w:r>
        <w:rPr>
          <w:color w:val="000000"/>
        </w:rPr>
        <w:t> </w:t>
      </w:r>
    </w:p>
    <w:p>
      <w:pPr>
        <w:pStyle w:val="TextBody"/>
        <w:bidi w:val="0"/>
        <w:spacing w:lineRule="auto" w:line="288" w:before="60" w:after="283"/>
        <w:jc w:val="center"/>
        <w:rPr>
          <w:rFonts w:ascii="Times New Roman;serif" w:hAnsi="Times New Roman;serif"/>
          <w:b w:val="false"/>
          <w:color w:val="000000"/>
          <w:sz w:val="14"/>
        </w:rPr>
      </w:pPr>
      <w:r>
        <w:rPr>
          <w:rFonts w:ascii="Times New Roman;serif" w:hAnsi="Times New Roman;serif"/>
          <w:b w:val="false"/>
          <w:color w:val="000000"/>
          <w:sz w:val="14"/>
        </w:rPr>
        <w:t>_________________________________________________________</w:t>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EXCHANGE ACT OF 1934</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May 18, 2026 (May 14,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color w:val="000000"/>
        </w:rPr>
        <w:t> </w:t>
      </w:r>
      <w:r>
        <w:rPr>
          <w:rFonts w:ascii="Times New Roman;serif" w:hAnsi="Times New Roman;serif"/>
          <w:b w:val="false"/>
          <w:color w:val="000000"/>
          <w:sz w:val="14"/>
        </w:rPr>
        <w:t>_________________________________________________________</w:t>
      </w:r>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 xml:space="preserve">CME GROUP INC. </w:t>
      </w:r>
    </w:p>
    <w:p>
      <w:pPr>
        <w:pStyle w:val="TextBody"/>
        <w:bidi w:val="0"/>
        <w:spacing w:lineRule="auto" w:line="288" w:before="0" w:after="0"/>
        <w:jc w:val="center"/>
        <w:rPr/>
      </w:pPr>
      <w:r>
        <w:rPr>
          <w:rFonts w:ascii="Times New Roman;serif" w:hAnsi="Times New Roman;serif"/>
          <w:b/>
          <w:color w:val="000000"/>
          <w:sz w:val="20"/>
        </w:rPr>
        <w:t>(Exact Name of Registrant as Specified in its Charter)</w:t>
      </w:r>
      <w:r>
        <w:rPr>
          <w:color w:val="000000"/>
        </w:rPr>
        <w:t> </w:t>
      </w:r>
    </w:p>
    <w:p>
      <w:pPr>
        <w:pStyle w:val="TextBody"/>
        <w:bidi w:val="0"/>
        <w:spacing w:lineRule="auto" w:line="288" w:before="60" w:after="283"/>
        <w:jc w:val="center"/>
        <w:rPr/>
      </w:pPr>
      <w:r>
        <w:rPr>
          <w:rFonts w:ascii="Times New Roman;serif" w:hAnsi="Times New Roman;serif"/>
          <w:b w:val="false"/>
          <w:color w:val="000000"/>
          <w:sz w:val="14"/>
        </w:rPr>
        <w:t>_________________________________________________________</w:t>
      </w:r>
      <w:r>
        <w:rPr>
          <w:color w:val="000000"/>
        </w:rPr>
        <w:t> </w:t>
      </w:r>
    </w:p>
    <w:tbl>
      <w:tblPr>
        <w:tblW w:w="5318" w:type="dxa"/>
        <w:jc w:val="left"/>
        <w:tblInd w:w="0" w:type="dxa"/>
        <w:tblLayout w:type="fixed"/>
        <w:tblCellMar>
          <w:top w:w="28" w:type="dxa"/>
          <w:left w:w="28" w:type="dxa"/>
          <w:bottom w:w="28" w:type="dxa"/>
          <w:right w:w="28" w:type="dxa"/>
        </w:tblCellMar>
      </w:tblPr>
      <w:tblGrid>
        <w:gridCol w:w="776"/>
        <w:gridCol w:w="680"/>
        <w:gridCol w:w="688"/>
        <w:gridCol w:w="109"/>
        <w:gridCol w:w="109"/>
        <w:gridCol w:w="109"/>
        <w:gridCol w:w="344"/>
        <w:gridCol w:w="344"/>
        <w:gridCol w:w="348"/>
        <w:gridCol w:w="109"/>
        <w:gridCol w:w="109"/>
        <w:gridCol w:w="109"/>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001-31553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36-4459170</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0" w:after="0"/>
        <w:jc w:val="left"/>
        <w:rPr>
          <w:color w:val="000000"/>
        </w:rPr>
      </w:pPr>
      <w:r>
        <w:rPr>
          <w:color w:val="000000"/>
        </w:rPr>
        <w:t> </w:t>
      </w:r>
    </w:p>
    <w:tbl>
      <w:tblPr>
        <w:tblW w:w="5787" w:type="dxa"/>
        <w:jc w:val="left"/>
        <w:tblInd w:w="0" w:type="dxa"/>
        <w:tblLayout w:type="fixed"/>
        <w:tblCellMar>
          <w:top w:w="28" w:type="dxa"/>
          <w:left w:w="28" w:type="dxa"/>
          <w:bottom w:w="28" w:type="dxa"/>
          <w:right w:w="28" w:type="dxa"/>
        </w:tblCellMar>
      </w:tblPr>
      <w:tblGrid>
        <w:gridCol w:w="1091"/>
        <w:gridCol w:w="957"/>
        <w:gridCol w:w="966"/>
        <w:gridCol w:w="270"/>
        <w:gridCol w:w="270"/>
        <w:gridCol w:w="271"/>
        <w:gridCol w:w="235"/>
        <w:gridCol w:w="235"/>
        <w:gridCol w:w="236"/>
        <w:gridCol w:w="109"/>
        <w:gridCol w:w="109"/>
        <w:gridCol w:w="109"/>
        <w:gridCol w:w="272"/>
        <w:gridCol w:w="272"/>
        <w:gridCol w:w="385"/>
      </w:tblGrid>
      <w:tr>
        <w:trPr/>
        <w:tc>
          <w:tcPr>
            <w:tcW w:w="1091"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 South Wacker Drive</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Chicago</w:t>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Illinois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60606</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(312) 930-1000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pPr>
      <w:r>
        <w:rPr>
          <w:rFonts w:ascii="Times New Roman;serif" w:hAnsi="Times New Roman;serif"/>
          <w:b/>
          <w:color w:val="000000"/>
          <w:sz w:val="16"/>
        </w:rPr>
        <w:t>(Former Name or Former Address, if Changed Since Last Report)</w:t>
      </w:r>
      <w:r>
        <w:rPr>
          <w:color w:val="000000"/>
        </w:rPr>
        <w:t> </w:t>
      </w:r>
    </w:p>
    <w:p>
      <w:pPr>
        <w:pStyle w:val="TextBody"/>
        <w:bidi w:val="0"/>
        <w:spacing w:lineRule="auto" w:line="288" w:before="60" w:after="283"/>
        <w:jc w:val="center"/>
        <w:rPr>
          <w:rFonts w:ascii="Times New Roman;serif" w:hAnsi="Times New Roman;serif"/>
          <w:b w:val="false"/>
          <w:color w:val="000000"/>
          <w:sz w:val="14"/>
        </w:rPr>
      </w:pPr>
      <w:r>
        <w:rPr>
          <w:rFonts w:ascii="Times New Roman;serif" w:hAnsi="Times New Roman;serif"/>
          <w:b w:val="false"/>
          <w:color w:val="000000"/>
          <w:sz w:val="14"/>
        </w:rPr>
        <w:t>______________________________________________________</w:t>
      </w:r>
    </w:p>
    <w:p>
      <w:pPr>
        <w:pStyle w:val="TextBody"/>
        <w:bidi w:val="0"/>
        <w:spacing w:lineRule="auto" w:line="288" w:before="80" w:after="283"/>
        <w:jc w:val="left"/>
        <w:rPr/>
      </w:pPr>
      <w:r>
        <w:rPr>
          <w:rFonts w:ascii="Times New Roman;serif" w:hAnsi="Times New Roman;serif"/>
          <w:b/>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color w:val="000000"/>
          <w:sz w:val="20"/>
        </w:rPr>
        <w:t>General Instruction A.2. below):</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139" w:type="dxa"/>
        <w:jc w:val="center"/>
        <w:tblInd w:w="0" w:type="dxa"/>
        <w:tblLayout w:type="fixed"/>
        <w:tblCellMar>
          <w:top w:w="28" w:type="dxa"/>
          <w:left w:w="28" w:type="dxa"/>
          <w:bottom w:w="28" w:type="dxa"/>
          <w:right w:w="28" w:type="dxa"/>
        </w:tblCellMar>
      </w:tblPr>
      <w:tblGrid>
        <w:gridCol w:w="739"/>
        <w:gridCol w:w="647"/>
        <w:gridCol w:w="654"/>
        <w:gridCol w:w="464"/>
        <w:gridCol w:w="464"/>
        <w:gridCol w:w="466"/>
        <w:gridCol w:w="1085"/>
        <w:gridCol w:w="1085"/>
        <w:gridCol w:w="1535"/>
      </w:tblGrid>
      <w:tr>
        <w:trPr/>
        <w:tc>
          <w:tcPr>
            <w:tcW w:w="7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CME</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 xml:space="preserve">Emerging growth company  ☐ </w:t>
      </w:r>
    </w:p>
    <w:p>
      <w:pPr>
        <w:pStyle w:val="TextBody"/>
        <w:bidi w:val="0"/>
        <w:spacing w:lineRule="auto" w:line="288"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shd w:fill="FFFFFF" w:val="clear"/>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Item 5.07. Submission of Matters to a Vote of Security Holders.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CME Group Inc. (the “Company”) held its 2026 Annual Meeting of Shareholders on May 14, 2026 (the “Annual Meeting”). At the close of business on March 16, 2026, the record date of the Annual Meeting, the Company had 362,808,081 shares of Class A and Class B common stock issued and outstanding. The following shares were present at the Annual Meeting, either in person or by proxy.</w:t>
      </w:r>
    </w:p>
    <w:p>
      <w:pPr>
        <w:pStyle w:val="TextBody"/>
        <w:bidi w:val="0"/>
        <w:spacing w:before="0" w:after="0"/>
        <w:jc w:val="left"/>
        <w:rPr/>
      </w:pPr>
      <w:r>
        <w:rPr/>
      </w:r>
    </w:p>
    <w:tbl>
      <w:tblPr>
        <w:tblW w:w="7407" w:type="dxa"/>
        <w:jc w:val="center"/>
        <w:tblInd w:w="0" w:type="dxa"/>
        <w:tblLayout w:type="fixed"/>
        <w:tblCellMar>
          <w:top w:w="28" w:type="dxa"/>
          <w:left w:w="28" w:type="dxa"/>
          <w:bottom w:w="28" w:type="dxa"/>
          <w:right w:w="28" w:type="dxa"/>
        </w:tblCellMar>
      </w:tblPr>
      <w:tblGrid>
        <w:gridCol w:w="868"/>
        <w:gridCol w:w="764"/>
        <w:gridCol w:w="767"/>
        <w:gridCol w:w="714"/>
        <w:gridCol w:w="714"/>
        <w:gridCol w:w="716"/>
        <w:gridCol w:w="567"/>
        <w:gridCol w:w="567"/>
        <w:gridCol w:w="1730"/>
      </w:tblGrid>
      <w:tr>
        <w:trPr/>
        <w:tc>
          <w:tcPr>
            <w:tcW w:w="86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Class(es) of Common Stock</w:t>
            </w:r>
          </w:p>
        </w:tc>
        <w:tc>
          <w:tcPr>
            <w:tcW w:w="2144"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Aggregate No. of Shares</w:t>
            </w:r>
          </w:p>
        </w:tc>
        <w:tc>
          <w:tcPr>
            <w:tcW w:w="2864" w:type="dxa"/>
            <w:gridSpan w:val="3"/>
            <w:tcBorders/>
            <w:shd w:fill="DBDBDB"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 of the Issued and Outstanding</w:t>
            </w:r>
          </w:p>
        </w:tc>
      </w:tr>
      <w:tr>
        <w:trPr/>
        <w:tc>
          <w:tcPr>
            <w:tcW w:w="23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Classes A and B</w:t>
            </w:r>
          </w:p>
        </w:tc>
        <w:tc>
          <w:tcPr>
            <w:tcW w:w="21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318,466,544</w:t>
            </w:r>
          </w:p>
        </w:tc>
        <w:tc>
          <w:tcPr>
            <w:tcW w:w="113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87.78 </w:t>
            </w:r>
          </w:p>
        </w:tc>
        <w:tc>
          <w:tcPr>
            <w:tcW w:w="1730" w:type="dxa"/>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399" w:type="dxa"/>
            <w:gridSpan w:val="3"/>
            <w:tcBorders>
              <w:top w:val="dotted" w:sz="4"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Class B-1</w:t>
            </w:r>
          </w:p>
        </w:tc>
        <w:tc>
          <w:tcPr>
            <w:tcW w:w="2144" w:type="dxa"/>
            <w:gridSpan w:val="3"/>
            <w:tcBorders>
              <w:top w:val="dotted"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207</w:t>
            </w:r>
          </w:p>
        </w:tc>
        <w:tc>
          <w:tcPr>
            <w:tcW w:w="1134" w:type="dxa"/>
            <w:gridSpan w:val="2"/>
            <w:tcBorders>
              <w:top w:val="dotted"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33.12 </w:t>
            </w:r>
          </w:p>
        </w:tc>
        <w:tc>
          <w:tcPr>
            <w:tcW w:w="1730" w:type="dxa"/>
            <w:tcBorders>
              <w:top w:val="dotted"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399" w:type="dxa"/>
            <w:gridSpan w:val="3"/>
            <w:tcBorders>
              <w:top w:val="dotted" w:sz="4"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Class B-2</w:t>
            </w:r>
          </w:p>
        </w:tc>
        <w:tc>
          <w:tcPr>
            <w:tcW w:w="2144" w:type="dxa"/>
            <w:gridSpan w:val="3"/>
            <w:tcBorders>
              <w:top w:val="dotted"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255</w:t>
            </w:r>
          </w:p>
        </w:tc>
        <w:tc>
          <w:tcPr>
            <w:tcW w:w="1134" w:type="dxa"/>
            <w:gridSpan w:val="2"/>
            <w:tcBorders>
              <w:top w:val="dotted"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31.37 </w:t>
            </w:r>
          </w:p>
        </w:tc>
        <w:tc>
          <w:tcPr>
            <w:tcW w:w="1730" w:type="dxa"/>
            <w:tcBorders>
              <w:top w:val="dotted"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399" w:type="dxa"/>
            <w:gridSpan w:val="3"/>
            <w:tcBorders>
              <w:top w:val="dotted" w:sz="4"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Class B-3</w:t>
            </w:r>
          </w:p>
        </w:tc>
        <w:tc>
          <w:tcPr>
            <w:tcW w:w="2144" w:type="dxa"/>
            <w:gridSpan w:val="3"/>
            <w:tcBorders>
              <w:top w:val="dotted"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311</w:t>
            </w:r>
          </w:p>
        </w:tc>
        <w:tc>
          <w:tcPr>
            <w:tcW w:w="1134" w:type="dxa"/>
            <w:gridSpan w:val="2"/>
            <w:tcBorders>
              <w:top w:val="dotted"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24.16 </w:t>
            </w:r>
          </w:p>
        </w:tc>
        <w:tc>
          <w:tcPr>
            <w:tcW w:w="1730" w:type="dxa"/>
            <w:tcBorders>
              <w:top w:val="dotted"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399" w:type="dxa"/>
            <w:gridSpan w:val="3"/>
            <w:tcBorders>
              <w:top w:val="dotted" w:sz="4" w:space="0" w:color="000000"/>
              <w:bottom w:val="single" w:sz="4" w:space="0" w:color="000000"/>
            </w:tcBorders>
            <w:tcMar>
              <w:top w:w="30" w:type="dxa"/>
              <w:left w:w="0" w:type="dxa"/>
              <w:bottom w:w="30" w:type="dxa"/>
              <w:right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Class B-4</w:t>
            </w:r>
          </w:p>
        </w:tc>
        <w:tc>
          <w:tcPr>
            <w:tcW w:w="2144" w:type="dxa"/>
            <w:gridSpan w:val="3"/>
            <w:tcBorders>
              <w:top w:val="dotted" w:sz="4" w:space="0" w:color="000000"/>
              <w:bottom w:val="single" w:sz="4" w:space="0" w:color="000000"/>
            </w:tcBorders>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105</w:t>
            </w:r>
          </w:p>
        </w:tc>
        <w:tc>
          <w:tcPr>
            <w:tcW w:w="1134" w:type="dxa"/>
            <w:gridSpan w:val="2"/>
            <w:tcBorders>
              <w:top w:val="dotted" w:sz="4" w:space="0" w:color="000000"/>
              <w:bottom w:val="single" w:sz="4" w:space="0" w:color="000000"/>
            </w:tcBorders>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25.42 </w:t>
            </w:r>
          </w:p>
        </w:tc>
        <w:tc>
          <w:tcPr>
            <w:tcW w:w="1730" w:type="dxa"/>
            <w:tcBorders>
              <w:top w:val="dotted" w:sz="4" w:space="0" w:color="000000"/>
              <w:bottom w:val="single" w:sz="4" w:space="0" w:color="000000"/>
            </w:tcBorders>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For each class of common stock, at least 33.3% of the common stock issued and outstanding must be present at the Annual Meeting to obtain quorum. Accordingly, Class B-1, Class B-2, Class B-3 and Class B-4 did not reach quorum. In light of the low participation from the Class B shareholders at the Annual Meeting, the proposals presented under Items 4 through 8 were adjourned to a meeting to be held virtually on June 9, 2026 at 11:00 a.m. Central Time.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The results of the proposals that were voted on at the Annual Meeting, which are described in further detail in the Company's definitive proxy statement on Schedule 14A filed with the SEC on March 23, 2026, are as follows:</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1.Each of the Equity Director nominees were elected to serve until the 2027 annual meeting of shareholders based on the following votes. For this item, Class A and Class B shareholders vote together as a single class. There were a total of 23,505,825 broker non-votes in this proposal. </w:t>
      </w:r>
    </w:p>
    <w:tbl>
      <w:tblPr>
        <w:tblW w:w="5823" w:type="dxa"/>
        <w:jc w:val="center"/>
        <w:tblInd w:w="0" w:type="dxa"/>
        <w:tblLayout w:type="fixed"/>
        <w:tblCellMar>
          <w:top w:w="28" w:type="dxa"/>
          <w:left w:w="28" w:type="dxa"/>
          <w:bottom w:w="28" w:type="dxa"/>
          <w:right w:w="28" w:type="dxa"/>
        </w:tblCellMar>
      </w:tblPr>
      <w:tblGrid>
        <w:gridCol w:w="788"/>
        <w:gridCol w:w="691"/>
        <w:gridCol w:w="696"/>
        <w:gridCol w:w="434"/>
        <w:gridCol w:w="434"/>
        <w:gridCol w:w="438"/>
        <w:gridCol w:w="394"/>
        <w:gridCol w:w="394"/>
        <w:gridCol w:w="398"/>
        <w:gridCol w:w="338"/>
        <w:gridCol w:w="338"/>
        <w:gridCol w:w="480"/>
      </w:tblGrid>
      <w:tr>
        <w:trPr/>
        <w:tc>
          <w:tcPr>
            <w:tcW w:w="7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Equity Directors</w:t>
            </w:r>
          </w:p>
        </w:tc>
        <w:tc>
          <w:tcPr>
            <w:tcW w:w="1306"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2"/>
              </w:rPr>
            </w:pPr>
            <w:r>
              <w:rPr>
                <w:rFonts w:ascii="Times New Roman;serif" w:hAnsi="Times New Roman;serif"/>
                <w:b/>
                <w:color w:val="000000"/>
                <w:sz w:val="22"/>
              </w:rPr>
              <w:t>FOR</w:t>
            </w:r>
          </w:p>
        </w:tc>
        <w:tc>
          <w:tcPr>
            <w:tcW w:w="1186"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2"/>
              </w:rPr>
            </w:pPr>
            <w:r>
              <w:rPr>
                <w:rFonts w:ascii="Times New Roman;serif" w:hAnsi="Times New Roman;serif"/>
                <w:b/>
                <w:color w:val="000000"/>
                <w:sz w:val="22"/>
              </w:rPr>
              <w:t>AGAINST</w:t>
            </w:r>
          </w:p>
        </w:tc>
        <w:tc>
          <w:tcPr>
            <w:tcW w:w="1156"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2"/>
              </w:rPr>
            </w:pPr>
            <w:r>
              <w:rPr>
                <w:rFonts w:ascii="Times New Roman;serif" w:hAnsi="Times New Roman;serif"/>
                <w:b/>
                <w:color w:val="000000"/>
                <w:sz w:val="22"/>
              </w:rPr>
              <w:t>ABSTAIN</w:t>
            </w:r>
          </w:p>
        </w:tc>
      </w:tr>
      <w:tr>
        <w:trPr/>
        <w:tc>
          <w:tcPr>
            <w:tcW w:w="21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Terrence A. Duffy</w:t>
            </w:r>
          </w:p>
        </w:tc>
        <w:tc>
          <w:tcPr>
            <w:tcW w:w="13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267,885,386</w:t>
            </w:r>
          </w:p>
        </w:tc>
        <w:tc>
          <w:tcPr>
            <w:tcW w:w="11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26,615,419</w:t>
            </w:r>
          </w:p>
        </w:tc>
        <w:tc>
          <w:tcPr>
            <w:tcW w:w="11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459,914</w:t>
            </w:r>
          </w:p>
        </w:tc>
      </w:tr>
      <w:tr>
        <w:trPr/>
        <w:tc>
          <w:tcPr>
            <w:tcW w:w="2175" w:type="dxa"/>
            <w:gridSpan w:val="3"/>
            <w:tcBorders>
              <w:top w:val="dotted" w:sz="4"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Kathryn Benesh</w:t>
            </w:r>
          </w:p>
        </w:tc>
        <w:tc>
          <w:tcPr>
            <w:tcW w:w="1306" w:type="dxa"/>
            <w:gridSpan w:val="3"/>
            <w:tcBorders>
              <w:top w:val="dotted"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286,032,047</w:t>
            </w:r>
          </w:p>
        </w:tc>
        <w:tc>
          <w:tcPr>
            <w:tcW w:w="1186" w:type="dxa"/>
            <w:gridSpan w:val="3"/>
            <w:tcBorders>
              <w:top w:val="dotted"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8,324,133</w:t>
            </w:r>
          </w:p>
        </w:tc>
        <w:tc>
          <w:tcPr>
            <w:tcW w:w="1156" w:type="dxa"/>
            <w:gridSpan w:val="3"/>
            <w:tcBorders>
              <w:top w:val="dotted" w:sz="4"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604,539</w:t>
            </w:r>
          </w:p>
        </w:tc>
      </w:tr>
      <w:tr>
        <w:trPr/>
        <w:tc>
          <w:tcPr>
            <w:tcW w:w="2175" w:type="dxa"/>
            <w:gridSpan w:val="3"/>
            <w:tcBorders>
              <w:top w:val="dotted"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Timothy S. Bitsberger</w:t>
            </w:r>
          </w:p>
        </w:tc>
        <w:tc>
          <w:tcPr>
            <w:tcW w:w="1306" w:type="dxa"/>
            <w:gridSpan w:val="3"/>
            <w:tcBorders>
              <w:top w:val="dotted"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267,913,188</w:t>
            </w:r>
          </w:p>
        </w:tc>
        <w:tc>
          <w:tcPr>
            <w:tcW w:w="1186" w:type="dxa"/>
            <w:gridSpan w:val="3"/>
            <w:tcBorders>
              <w:top w:val="dotted"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26,461,432</w:t>
            </w:r>
          </w:p>
        </w:tc>
        <w:tc>
          <w:tcPr>
            <w:tcW w:w="1156" w:type="dxa"/>
            <w:gridSpan w:val="3"/>
            <w:tcBorders>
              <w:top w:val="dotted"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586,099</w:t>
            </w:r>
          </w:p>
        </w:tc>
      </w:tr>
      <w:tr>
        <w:trPr/>
        <w:tc>
          <w:tcPr>
            <w:tcW w:w="2175" w:type="dxa"/>
            <w:gridSpan w:val="3"/>
            <w:tcBorders>
              <w:top w:val="dotted"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Charles P. Carey</w:t>
            </w:r>
          </w:p>
        </w:tc>
        <w:tc>
          <w:tcPr>
            <w:tcW w:w="1306" w:type="dxa"/>
            <w:gridSpan w:val="3"/>
            <w:tcBorders>
              <w:top w:val="dotted"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252,305,370</w:t>
            </w:r>
          </w:p>
        </w:tc>
        <w:tc>
          <w:tcPr>
            <w:tcW w:w="1186" w:type="dxa"/>
            <w:gridSpan w:val="3"/>
            <w:tcBorders>
              <w:top w:val="dotted"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41,546,896</w:t>
            </w:r>
          </w:p>
        </w:tc>
        <w:tc>
          <w:tcPr>
            <w:tcW w:w="1156" w:type="dxa"/>
            <w:gridSpan w:val="3"/>
            <w:tcBorders>
              <w:top w:val="dotted"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1,108,453</w:t>
            </w:r>
          </w:p>
        </w:tc>
      </w:tr>
      <w:tr>
        <w:trPr/>
        <w:tc>
          <w:tcPr>
            <w:tcW w:w="2175" w:type="dxa"/>
            <w:gridSpan w:val="3"/>
            <w:tcBorders>
              <w:top w:val="dotted"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Bryan T. Durkin</w:t>
            </w:r>
          </w:p>
        </w:tc>
        <w:tc>
          <w:tcPr>
            <w:tcW w:w="1306" w:type="dxa"/>
            <w:gridSpan w:val="3"/>
            <w:tcBorders>
              <w:top w:val="dotted"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280,480,508</w:t>
            </w:r>
          </w:p>
        </w:tc>
        <w:tc>
          <w:tcPr>
            <w:tcW w:w="1186" w:type="dxa"/>
            <w:gridSpan w:val="3"/>
            <w:tcBorders>
              <w:top w:val="dotted"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13,830,690</w:t>
            </w:r>
          </w:p>
        </w:tc>
        <w:tc>
          <w:tcPr>
            <w:tcW w:w="1156" w:type="dxa"/>
            <w:gridSpan w:val="3"/>
            <w:tcBorders>
              <w:top w:val="dotted"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649,521</w:t>
            </w:r>
          </w:p>
        </w:tc>
      </w:tr>
      <w:tr>
        <w:trPr/>
        <w:tc>
          <w:tcPr>
            <w:tcW w:w="2175" w:type="dxa"/>
            <w:gridSpan w:val="3"/>
            <w:tcBorders>
              <w:top w:val="dotted"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Harold Ford Jr.</w:t>
            </w:r>
          </w:p>
        </w:tc>
        <w:tc>
          <w:tcPr>
            <w:tcW w:w="1306" w:type="dxa"/>
            <w:gridSpan w:val="3"/>
            <w:tcBorders>
              <w:top w:val="dotted"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285,672,959</w:t>
            </w:r>
          </w:p>
        </w:tc>
        <w:tc>
          <w:tcPr>
            <w:tcW w:w="1186" w:type="dxa"/>
            <w:gridSpan w:val="3"/>
            <w:tcBorders>
              <w:top w:val="dotted"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8,650,548</w:t>
            </w:r>
          </w:p>
        </w:tc>
        <w:tc>
          <w:tcPr>
            <w:tcW w:w="1156" w:type="dxa"/>
            <w:gridSpan w:val="3"/>
            <w:tcBorders>
              <w:top w:val="dotted"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637,212</w:t>
            </w:r>
          </w:p>
        </w:tc>
      </w:tr>
      <w:tr>
        <w:trPr/>
        <w:tc>
          <w:tcPr>
            <w:tcW w:w="2175" w:type="dxa"/>
            <w:gridSpan w:val="3"/>
            <w:tcBorders>
              <w:top w:val="dotted"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Martin J. Gepsman</w:t>
            </w:r>
          </w:p>
        </w:tc>
        <w:tc>
          <w:tcPr>
            <w:tcW w:w="1306" w:type="dxa"/>
            <w:gridSpan w:val="3"/>
            <w:tcBorders>
              <w:top w:val="dotted"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242,151,525</w:t>
            </w:r>
          </w:p>
        </w:tc>
        <w:tc>
          <w:tcPr>
            <w:tcW w:w="1186" w:type="dxa"/>
            <w:gridSpan w:val="3"/>
            <w:tcBorders>
              <w:top w:val="dotted"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52,090,523</w:t>
            </w:r>
          </w:p>
        </w:tc>
        <w:tc>
          <w:tcPr>
            <w:tcW w:w="1156" w:type="dxa"/>
            <w:gridSpan w:val="3"/>
            <w:tcBorders>
              <w:top w:val="dotted"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718,671</w:t>
            </w:r>
          </w:p>
        </w:tc>
      </w:tr>
      <w:tr>
        <w:trPr/>
        <w:tc>
          <w:tcPr>
            <w:tcW w:w="2175" w:type="dxa"/>
            <w:gridSpan w:val="3"/>
            <w:tcBorders>
              <w:top w:val="dotted"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Daniel G. Kaye</w:t>
            </w:r>
          </w:p>
        </w:tc>
        <w:tc>
          <w:tcPr>
            <w:tcW w:w="1306" w:type="dxa"/>
            <w:gridSpan w:val="3"/>
            <w:tcBorders>
              <w:top w:val="dotted"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281,023,717</w:t>
            </w:r>
          </w:p>
        </w:tc>
        <w:tc>
          <w:tcPr>
            <w:tcW w:w="1186" w:type="dxa"/>
            <w:gridSpan w:val="3"/>
            <w:tcBorders>
              <w:top w:val="dotted"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13,356,331</w:t>
            </w:r>
          </w:p>
        </w:tc>
        <w:tc>
          <w:tcPr>
            <w:tcW w:w="1156" w:type="dxa"/>
            <w:gridSpan w:val="3"/>
            <w:tcBorders>
              <w:top w:val="dotted"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580,671</w:t>
            </w:r>
          </w:p>
        </w:tc>
      </w:tr>
      <w:tr>
        <w:trPr/>
        <w:tc>
          <w:tcPr>
            <w:tcW w:w="2175" w:type="dxa"/>
            <w:gridSpan w:val="3"/>
            <w:tcBorders>
              <w:top w:val="dotted"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Phyllis M. Lockett</w:t>
            </w:r>
          </w:p>
        </w:tc>
        <w:tc>
          <w:tcPr>
            <w:tcW w:w="1306" w:type="dxa"/>
            <w:gridSpan w:val="3"/>
            <w:tcBorders>
              <w:top w:val="dotted"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258,393,139</w:t>
            </w:r>
          </w:p>
        </w:tc>
        <w:tc>
          <w:tcPr>
            <w:tcW w:w="1186" w:type="dxa"/>
            <w:gridSpan w:val="3"/>
            <w:tcBorders>
              <w:top w:val="dotted"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35,557,492</w:t>
            </w:r>
          </w:p>
        </w:tc>
        <w:tc>
          <w:tcPr>
            <w:tcW w:w="1156" w:type="dxa"/>
            <w:gridSpan w:val="3"/>
            <w:tcBorders>
              <w:top w:val="dotted"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1,010,088</w:t>
            </w:r>
          </w:p>
        </w:tc>
      </w:tr>
      <w:tr>
        <w:trPr/>
        <w:tc>
          <w:tcPr>
            <w:tcW w:w="2175" w:type="dxa"/>
            <w:gridSpan w:val="3"/>
            <w:tcBorders>
              <w:top w:val="dotted"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Deborah J. Lucas</w:t>
            </w:r>
          </w:p>
        </w:tc>
        <w:tc>
          <w:tcPr>
            <w:tcW w:w="1306" w:type="dxa"/>
            <w:gridSpan w:val="3"/>
            <w:tcBorders>
              <w:top w:val="dotted"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286,008,982</w:t>
            </w:r>
          </w:p>
        </w:tc>
        <w:tc>
          <w:tcPr>
            <w:tcW w:w="1186" w:type="dxa"/>
            <w:gridSpan w:val="3"/>
            <w:tcBorders>
              <w:top w:val="dotted"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8,354,274</w:t>
            </w:r>
          </w:p>
        </w:tc>
        <w:tc>
          <w:tcPr>
            <w:tcW w:w="1156" w:type="dxa"/>
            <w:gridSpan w:val="3"/>
            <w:tcBorders>
              <w:top w:val="dotted"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597,463</w:t>
            </w:r>
          </w:p>
        </w:tc>
      </w:tr>
      <w:tr>
        <w:trPr/>
        <w:tc>
          <w:tcPr>
            <w:tcW w:w="2175" w:type="dxa"/>
            <w:gridSpan w:val="3"/>
            <w:tcBorders>
              <w:top w:val="dotted"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Rahael Seifu</w:t>
            </w:r>
          </w:p>
        </w:tc>
        <w:tc>
          <w:tcPr>
            <w:tcW w:w="1306" w:type="dxa"/>
            <w:gridSpan w:val="3"/>
            <w:tcBorders>
              <w:top w:val="dotted"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271,627,737</w:t>
            </w:r>
          </w:p>
        </w:tc>
        <w:tc>
          <w:tcPr>
            <w:tcW w:w="1186" w:type="dxa"/>
            <w:gridSpan w:val="3"/>
            <w:tcBorders>
              <w:top w:val="dotted"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22,563,896</w:t>
            </w:r>
          </w:p>
        </w:tc>
        <w:tc>
          <w:tcPr>
            <w:tcW w:w="1156" w:type="dxa"/>
            <w:gridSpan w:val="3"/>
            <w:tcBorders>
              <w:top w:val="dotted"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769,086</w:t>
            </w:r>
          </w:p>
        </w:tc>
      </w:tr>
      <w:tr>
        <w:trPr/>
        <w:tc>
          <w:tcPr>
            <w:tcW w:w="2175" w:type="dxa"/>
            <w:gridSpan w:val="3"/>
            <w:tcBorders>
              <w:top w:val="dotted"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William R. Shepard</w:t>
            </w:r>
          </w:p>
        </w:tc>
        <w:tc>
          <w:tcPr>
            <w:tcW w:w="1306" w:type="dxa"/>
            <w:gridSpan w:val="3"/>
            <w:tcBorders>
              <w:top w:val="dotted"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268,926,954</w:t>
            </w:r>
          </w:p>
        </w:tc>
        <w:tc>
          <w:tcPr>
            <w:tcW w:w="1186" w:type="dxa"/>
            <w:gridSpan w:val="3"/>
            <w:tcBorders>
              <w:top w:val="dotted"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25,612,160</w:t>
            </w:r>
          </w:p>
        </w:tc>
        <w:tc>
          <w:tcPr>
            <w:tcW w:w="1156" w:type="dxa"/>
            <w:gridSpan w:val="3"/>
            <w:tcBorders>
              <w:top w:val="dotted"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421,605</w:t>
            </w:r>
          </w:p>
        </w:tc>
      </w:tr>
      <w:tr>
        <w:trPr/>
        <w:tc>
          <w:tcPr>
            <w:tcW w:w="2175" w:type="dxa"/>
            <w:gridSpan w:val="3"/>
            <w:tcBorders>
              <w:top w:val="dotted"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Howard J. Siegel</w:t>
            </w:r>
          </w:p>
        </w:tc>
        <w:tc>
          <w:tcPr>
            <w:tcW w:w="1306" w:type="dxa"/>
            <w:gridSpan w:val="3"/>
            <w:tcBorders>
              <w:top w:val="dotted"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273,255,554</w:t>
            </w:r>
          </w:p>
        </w:tc>
        <w:tc>
          <w:tcPr>
            <w:tcW w:w="1186" w:type="dxa"/>
            <w:gridSpan w:val="3"/>
            <w:tcBorders>
              <w:top w:val="dotted"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21,183,226</w:t>
            </w:r>
          </w:p>
        </w:tc>
        <w:tc>
          <w:tcPr>
            <w:tcW w:w="1156" w:type="dxa"/>
            <w:gridSpan w:val="3"/>
            <w:tcBorders>
              <w:top w:val="dotted"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521,939</w:t>
            </w:r>
          </w:p>
        </w:tc>
      </w:tr>
      <w:tr>
        <w:trPr/>
        <w:tc>
          <w:tcPr>
            <w:tcW w:w="2175" w:type="dxa"/>
            <w:gridSpan w:val="3"/>
            <w:tcBorders>
              <w:top w:val="dotted"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Dennis A. Suskind</w:t>
            </w:r>
          </w:p>
        </w:tc>
        <w:tc>
          <w:tcPr>
            <w:tcW w:w="1306" w:type="dxa"/>
            <w:gridSpan w:val="3"/>
            <w:tcBorders>
              <w:top w:val="dotted"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257,757,954</w:t>
            </w:r>
          </w:p>
        </w:tc>
        <w:tc>
          <w:tcPr>
            <w:tcW w:w="1186" w:type="dxa"/>
            <w:gridSpan w:val="3"/>
            <w:tcBorders>
              <w:top w:val="dotted"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36,335,165</w:t>
            </w:r>
          </w:p>
        </w:tc>
        <w:tc>
          <w:tcPr>
            <w:tcW w:w="1156" w:type="dxa"/>
            <w:gridSpan w:val="3"/>
            <w:tcBorders>
              <w:top w:val="dotted"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867,600</w:t>
            </w:r>
          </w:p>
        </w:tc>
      </w:tr>
    </w:tbl>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2.The proposal to ratify the appointment of Ernst &amp; Young LLP as the Company's independent auditor for 2026 was approved based upon the following votes. For this item, Class A and Class B shareholders vote together as a single class.</w:t>
      </w:r>
    </w:p>
    <w:p>
      <w:pPr>
        <w:pStyle w:val="TextBody"/>
        <w:bidi w:val="0"/>
        <w:spacing w:before="0" w:after="0"/>
        <w:jc w:val="left"/>
        <w:rPr/>
      </w:pPr>
      <w:r>
        <w:rPr/>
      </w:r>
    </w:p>
    <w:tbl>
      <w:tblPr>
        <w:tblW w:w="3663" w:type="dxa"/>
        <w:jc w:val="center"/>
        <w:tblInd w:w="0" w:type="dxa"/>
        <w:tblLayout w:type="fixed"/>
        <w:tblCellMar>
          <w:top w:w="28" w:type="dxa"/>
          <w:left w:w="28" w:type="dxa"/>
          <w:bottom w:w="28" w:type="dxa"/>
          <w:right w:w="28" w:type="dxa"/>
        </w:tblCellMar>
      </w:tblPr>
      <w:tblGrid>
        <w:gridCol w:w="476"/>
        <w:gridCol w:w="419"/>
        <w:gridCol w:w="426"/>
        <w:gridCol w:w="394"/>
        <w:gridCol w:w="394"/>
        <w:gridCol w:w="398"/>
        <w:gridCol w:w="338"/>
        <w:gridCol w:w="338"/>
        <w:gridCol w:w="480"/>
      </w:tblGrid>
      <w:tr>
        <w:trPr/>
        <w:tc>
          <w:tcPr>
            <w:tcW w:w="47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2"/>
              </w:rPr>
            </w:pPr>
            <w:r>
              <w:rPr>
                <w:rFonts w:ascii="Times New Roman;serif" w:hAnsi="Times New Roman;serif"/>
                <w:b/>
                <w:color w:val="000000"/>
                <w:sz w:val="22"/>
              </w:rPr>
              <w:t>FOR</w:t>
            </w:r>
          </w:p>
        </w:tc>
        <w:tc>
          <w:tcPr>
            <w:tcW w:w="1186"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2"/>
              </w:rPr>
            </w:pPr>
            <w:r>
              <w:rPr>
                <w:rFonts w:ascii="Times New Roman;serif" w:hAnsi="Times New Roman;serif"/>
                <w:b/>
                <w:color w:val="000000"/>
                <w:sz w:val="22"/>
              </w:rPr>
              <w:t>AGAINST</w:t>
            </w:r>
          </w:p>
        </w:tc>
        <w:tc>
          <w:tcPr>
            <w:tcW w:w="1156"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2"/>
              </w:rPr>
            </w:pPr>
            <w:r>
              <w:rPr>
                <w:rFonts w:ascii="Times New Roman;serif" w:hAnsi="Times New Roman;serif"/>
                <w:b/>
                <w:color w:val="000000"/>
                <w:sz w:val="22"/>
              </w:rPr>
              <w:t>ABSTAIN</w:t>
            </w:r>
          </w:p>
        </w:tc>
      </w:tr>
      <w:tr>
        <w:trPr/>
        <w:tc>
          <w:tcPr>
            <w:tcW w:w="132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291,376,905</w:t>
            </w:r>
          </w:p>
        </w:tc>
        <w:tc>
          <w:tcPr>
            <w:tcW w:w="118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26,595,015</w:t>
            </w:r>
          </w:p>
        </w:tc>
        <w:tc>
          <w:tcPr>
            <w:tcW w:w="115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494,624</w:t>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76"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3.The proposal to approve, on an advisory basis, the compensation of the Company's named executive officers was approved based upon the following votes. For this item, Class A and Class B shareholders vote together as a single class. There were a total of 23,505,825 broker non-votes for this proposal.</w:t>
      </w:r>
    </w:p>
    <w:p>
      <w:pPr>
        <w:pStyle w:val="TextBody"/>
        <w:bidi w:val="0"/>
        <w:spacing w:before="0" w:after="0"/>
        <w:jc w:val="left"/>
        <w:rPr/>
      </w:pPr>
      <w:r>
        <w:rPr/>
      </w:r>
    </w:p>
    <w:tbl>
      <w:tblPr>
        <w:tblW w:w="3663" w:type="dxa"/>
        <w:jc w:val="center"/>
        <w:tblInd w:w="0" w:type="dxa"/>
        <w:tblLayout w:type="fixed"/>
        <w:tblCellMar>
          <w:top w:w="28" w:type="dxa"/>
          <w:left w:w="28" w:type="dxa"/>
          <w:bottom w:w="28" w:type="dxa"/>
          <w:right w:w="28" w:type="dxa"/>
        </w:tblCellMar>
      </w:tblPr>
      <w:tblGrid>
        <w:gridCol w:w="476"/>
        <w:gridCol w:w="419"/>
        <w:gridCol w:w="426"/>
        <w:gridCol w:w="394"/>
        <w:gridCol w:w="394"/>
        <w:gridCol w:w="398"/>
        <w:gridCol w:w="338"/>
        <w:gridCol w:w="338"/>
        <w:gridCol w:w="480"/>
      </w:tblGrid>
      <w:tr>
        <w:trPr/>
        <w:tc>
          <w:tcPr>
            <w:tcW w:w="47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2"/>
              </w:rPr>
            </w:pPr>
            <w:r>
              <w:rPr>
                <w:rFonts w:ascii="Times New Roman;serif" w:hAnsi="Times New Roman;serif"/>
                <w:b/>
                <w:color w:val="000000"/>
                <w:sz w:val="22"/>
              </w:rPr>
              <w:t>FOR</w:t>
            </w:r>
          </w:p>
        </w:tc>
        <w:tc>
          <w:tcPr>
            <w:tcW w:w="1186"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2"/>
              </w:rPr>
            </w:pPr>
            <w:r>
              <w:rPr>
                <w:rFonts w:ascii="Times New Roman;serif" w:hAnsi="Times New Roman;serif"/>
                <w:b/>
                <w:color w:val="000000"/>
                <w:sz w:val="22"/>
              </w:rPr>
              <w:t>AGAINST</w:t>
            </w:r>
          </w:p>
        </w:tc>
        <w:tc>
          <w:tcPr>
            <w:tcW w:w="1156" w:type="dxa"/>
            <w:gridSpan w:val="3"/>
            <w:tcBorders/>
            <w:shd w:fill="DBDBDB"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2"/>
              </w:rPr>
            </w:pPr>
            <w:r>
              <w:rPr>
                <w:rFonts w:ascii="Times New Roman;serif" w:hAnsi="Times New Roman;serif"/>
                <w:b/>
                <w:color w:val="000000"/>
                <w:sz w:val="22"/>
              </w:rPr>
              <w:t>ABSTAIN</w:t>
            </w:r>
          </w:p>
        </w:tc>
      </w:tr>
      <w:tr>
        <w:trPr/>
        <w:tc>
          <w:tcPr>
            <w:tcW w:w="132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2"/>
              </w:rPr>
            </w:pPr>
            <w:r>
              <w:rPr>
                <w:rFonts w:ascii="Times New Roman;serif" w:hAnsi="Times New Roman;serif"/>
                <w:b w:val="false"/>
                <w:color w:val="000000"/>
                <w:sz w:val="22"/>
              </w:rPr>
              <w:t>259,576,112</w:t>
            </w:r>
          </w:p>
        </w:tc>
        <w:tc>
          <w:tcPr>
            <w:tcW w:w="118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34,530,288</w:t>
            </w:r>
          </w:p>
        </w:tc>
        <w:tc>
          <w:tcPr>
            <w:tcW w:w="115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854,319</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as amended,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037" w:type="dxa"/>
        <w:jc w:val="left"/>
        <w:tblInd w:w="0" w:type="dxa"/>
        <w:tblLayout w:type="fixed"/>
        <w:tblCellMar>
          <w:top w:w="28" w:type="dxa"/>
          <w:left w:w="28" w:type="dxa"/>
          <w:bottom w:w="28" w:type="dxa"/>
          <w:right w:w="28" w:type="dxa"/>
        </w:tblCellMar>
      </w:tblPr>
      <w:tblGrid>
        <w:gridCol w:w="732"/>
        <w:gridCol w:w="645"/>
        <w:gridCol w:w="648"/>
        <w:gridCol w:w="109"/>
        <w:gridCol w:w="109"/>
        <w:gridCol w:w="109"/>
        <w:gridCol w:w="346"/>
        <w:gridCol w:w="202"/>
        <w:gridCol w:w="202"/>
        <w:gridCol w:w="202"/>
        <w:gridCol w:w="202"/>
        <w:gridCol w:w="202"/>
        <w:gridCol w:w="972"/>
        <w:gridCol w:w="972"/>
        <w:gridCol w:w="1385"/>
      </w:tblGrid>
      <w:tr>
        <w:trPr/>
        <w:tc>
          <w:tcPr>
            <w:tcW w:w="73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CME Group Inc.</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Registrant</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 May 19,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 Jonathan Marcus</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br/>
              <w:t>Title:</w:t>
            </w:r>
          </w:p>
        </w:tc>
        <w:tc>
          <w:tcPr>
            <w:tcW w:w="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2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 xml:space="preserve">Jonathan Marcus </w:t>
            </w:r>
          </w:p>
          <w:p>
            <w:pPr>
              <w:pStyle w:val="TableContents"/>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 xml:space="preserve">Senior Managing Director and </w:t>
            </w:r>
          </w:p>
          <w:p>
            <w:pPr>
              <w:pStyle w:val="TableContents"/>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General Counsel</w:t>
            </w:r>
          </w:p>
          <w:p>
            <w:pPr>
              <w:pStyle w:val="TableContents"/>
              <w:bidi w:val="0"/>
              <w:spacing w:before="0" w:after="0"/>
              <w:jc w:val="center"/>
              <w:rPr/>
            </w:pPr>
            <w:r>
              <w:rPr/>
            </w:r>
          </w:p>
          <w:p>
            <w:pPr>
              <w:pStyle w:val="TableContents"/>
              <w:bidi w:val="0"/>
              <w:spacing w:before="0" w:after="0"/>
              <w:jc w:val="center"/>
              <w:rPr/>
            </w:pPr>
            <w:r>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2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837</Words>
  <Characters>4726</Characters>
  <CharactersWithSpaces>5440</CharactersWithSpaces>
  <Paragraphs>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